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val="0"/>
          <w:kern w:val="1"/>
          <w:sz w:val="24"/>
          <w:szCs w:val="24"/>
          <w:lang w:eastAsia="zh-cn"/>
        </w:rPr>
      </w:pPr>
      <w:r>
        <w:rPr>
          <w:bCs w:val="0"/>
          <w:kern w:val="1"/>
          <w:sz w:val="24"/>
          <w:szCs w:val="24"/>
          <w:lang w:eastAsia="zh-cn"/>
        </w:rPr>
        <w:t>ӘЛ-ФАРАБИ АТЫНДАҒЫ ҚАЗАҚ ҰЛТТЫҚ УНИВЕРСИТЕТІ</w:t>
      </w:r>
    </w:p>
    <w:p>
      <w:pPr>
        <w:pStyle w:val="para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val="0"/>
          <w:kern w:val="1"/>
          <w:sz w:val="24"/>
          <w:szCs w:val="24"/>
          <w:lang w:eastAsia="zh-cn"/>
        </w:rPr>
      </w:pPr>
      <w:r>
        <w:rPr>
          <w:bCs w:val="0"/>
          <w:kern w:val="1"/>
          <w:sz w:val="24"/>
          <w:szCs w:val="24"/>
          <w:lang w:eastAsia="zh-cn"/>
        </w:rPr>
      </w:r>
    </w:p>
    <w:p>
      <w:pPr>
        <w:pStyle w:val="para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val="0"/>
          <w:kern w:val="1"/>
          <w:sz w:val="24"/>
          <w:szCs w:val="24"/>
          <w:lang w:eastAsia="zh-cn"/>
        </w:rPr>
      </w:pPr>
      <w:r>
        <w:rPr>
          <w:bCs w:val="0"/>
          <w:kern w:val="1"/>
          <w:sz w:val="24"/>
          <w:szCs w:val="24"/>
          <w:lang w:eastAsia="zh-cn"/>
        </w:rPr>
      </w:r>
    </w:p>
    <w:p>
      <w:pPr>
        <w:pStyle w:val="para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val="0"/>
          <w:kern w:val="1"/>
          <w:sz w:val="24"/>
          <w:szCs w:val="24"/>
          <w:lang w:eastAsia="zh-cn"/>
        </w:rPr>
      </w:pPr>
      <w:r>
        <w:rPr>
          <w:bCs w:val="0"/>
          <w:kern w:val="1"/>
          <w:sz w:val="24"/>
          <w:szCs w:val="24"/>
          <w:lang w:eastAsia="zh-cn"/>
        </w:rPr>
      </w:r>
    </w:p>
    <w:p>
      <w:pPr>
        <w:pStyle w:val="para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val="0"/>
          <w:kern w:val="1"/>
          <w:sz w:val="24"/>
          <w:szCs w:val="24"/>
          <w:lang w:eastAsia="zh-cn"/>
        </w:rPr>
      </w:pPr>
      <w:r>
        <w:rPr>
          <w:bCs w:val="0"/>
          <w:kern w:val="1"/>
          <w:sz w:val="24"/>
          <w:szCs w:val="24"/>
          <w:lang w:eastAsia="zh-cn"/>
        </w:rPr>
      </w:r>
    </w:p>
    <w:p>
      <w:pPr>
        <w:ind w:left="221" w:right="214"/>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t>Заң факультеті</w:t>
      </w:r>
    </w:p>
    <w:p>
      <w:pPr>
        <w:ind w:left="221" w:right="214"/>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ind w:left="221" w:right="214"/>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ind w:left="221" w:right="214"/>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ind w:left="221" w:right="215"/>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t>Кеден, қаржы және экологиялық құқық кафедрасы</w:t>
      </w:r>
    </w:p>
    <w:p>
      <w:pPr>
        <w:ind w:right="119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ind w:right="119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ind w:right="1198"/>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pStyle w:val="para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ind w:left="217" w:right="215"/>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ind w:left="217" w:right="215"/>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t>ҚОРЫТЫНДЫ ЕМТИХАН БАҒДАРЛАМАСЫ</w:t>
      </w:r>
    </w:p>
    <w:p>
      <w:pPr>
        <w:ind w:left="217" w:right="215"/>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ind w:left="217" w:right="215"/>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ind w:left="217" w:right="215"/>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kern w:val="1"/>
          <w:sz w:val="24"/>
          <w:szCs w:val="24"/>
          <w:lang w:eastAsia="zh-cn"/>
        </w:rPr>
      </w:pPr>
      <w:r>
        <w:rPr>
          <w:b/>
          <w:bCs/>
          <w:kern w:val="1"/>
          <w:sz w:val="24"/>
          <w:szCs w:val="24"/>
          <w:lang w:eastAsia="zh-cn"/>
        </w:rPr>
      </w:r>
    </w:p>
    <w:p>
      <w:pPr>
        <w:ind w:firstLine="284"/>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kern w:val="1"/>
          <w:sz w:val="24"/>
          <w:szCs w:val="24"/>
          <w:lang w:eastAsia="zh-cn"/>
        </w:rPr>
      </w:pPr>
      <w:r>
        <w:rPr>
          <w:b/>
          <w:bCs/>
          <w:kern w:val="1"/>
          <w:sz w:val="24"/>
          <w:szCs w:val="24"/>
          <w:lang w:eastAsia="zh-cn"/>
        </w:rPr>
        <w:t xml:space="preserve">Пән: </w:t>
      </w:r>
      <w:r>
        <w:rPr>
          <w:b/>
          <w:bCs/>
          <w:sz w:val="24"/>
          <w:szCs w:val="24"/>
          <w:lang w:eastAsia="ru-ru"/>
        </w:rPr>
        <w:t>MP 3301</w:t>
      </w:r>
      <w:r>
        <w:rPr>
          <w:b/>
          <w:bCs/>
          <w:kern w:val="1"/>
          <w:sz w:val="24"/>
          <w:szCs w:val="24"/>
          <w:lang w:eastAsia="zh-cn"/>
        </w:rPr>
        <w:t xml:space="preserve"> Халықаралық құқық</w:t>
      </w:r>
      <w:r>
        <w:rPr>
          <w:b/>
          <w:bCs/>
          <w:kern w:val="1"/>
          <w:sz w:val="24"/>
          <w:szCs w:val="24"/>
          <w:lang w:eastAsia="zh-cn"/>
        </w:rPr>
      </w:r>
    </w:p>
    <w:p>
      <w:pPr>
        <w:pStyle w:val="para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pStyle w:val="para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ind w:firstLine="284"/>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t xml:space="preserve">6В04205 «Құқықтану» мамандығы бойынша құқық бакалавры білім беру бағдарламасы </w:t>
      </w:r>
    </w:p>
    <w:p>
      <w:pPr>
        <w:pStyle w:val="para2"/>
        <w:ind w:left="221" w:right="215"/>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pStyle w:val="para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pStyle w:val="para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pStyle w:val="para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pStyle w:val="para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pStyle w:val="para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pStyle w:val="para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pStyle w:val="para2"/>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pStyle w:val="para1"/>
        <w:ind w:left="446"/>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val="0"/>
          <w:kern w:val="1"/>
          <w:sz w:val="24"/>
          <w:szCs w:val="24"/>
          <w:lang w:eastAsia="zh-cn"/>
        </w:rPr>
      </w:pPr>
      <w:r/>
      <w:bookmarkStart w:id="0" w:name="Алматы_2020_ж._"/>
      <w:r/>
      <w:bookmarkEnd w:id="0"/>
      <w:r/>
      <w:r>
        <w:rPr>
          <w:bCs w:val="0"/>
          <w:kern w:val="1"/>
          <w:sz w:val="24"/>
          <w:szCs w:val="24"/>
          <w:lang w:eastAsia="zh-cn"/>
        </w:rPr>
      </w:r>
    </w:p>
    <w:p>
      <w:pPr>
        <w:pStyle w:val="para1"/>
        <w:ind w:left="446"/>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val="0"/>
          <w:kern w:val="1"/>
          <w:sz w:val="24"/>
          <w:szCs w:val="24"/>
          <w:lang w:eastAsia="zh-cn"/>
        </w:rPr>
      </w:pPr>
      <w:r>
        <w:rPr>
          <w:bCs w:val="0"/>
          <w:kern w:val="1"/>
          <w:sz w:val="24"/>
          <w:szCs w:val="24"/>
          <w:lang w:eastAsia="zh-cn"/>
        </w:rPr>
      </w:r>
    </w:p>
    <w:p>
      <w:pPr>
        <w:pStyle w:val="para1"/>
        <w:ind w:left="446"/>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val="0"/>
          <w:kern w:val="1"/>
          <w:sz w:val="24"/>
          <w:szCs w:val="24"/>
          <w:lang w:eastAsia="zh-cn"/>
        </w:rPr>
      </w:pPr>
      <w:r>
        <w:rPr>
          <w:bCs w:val="0"/>
          <w:kern w:val="1"/>
          <w:sz w:val="24"/>
          <w:szCs w:val="24"/>
          <w:lang w:eastAsia="zh-cn"/>
        </w:rPr>
      </w:r>
    </w:p>
    <w:p>
      <w:pPr>
        <w:pStyle w:val="para1"/>
        <w:ind w:left="446"/>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val="0"/>
          <w:kern w:val="1"/>
          <w:sz w:val="24"/>
          <w:szCs w:val="24"/>
          <w:lang w:eastAsia="zh-cn"/>
        </w:rPr>
      </w:pPr>
      <w:r>
        <w:rPr>
          <w:bCs w:val="0"/>
          <w:kern w:val="1"/>
          <w:sz w:val="24"/>
          <w:szCs w:val="24"/>
          <w:lang w:eastAsia="zh-cn"/>
        </w:rPr>
      </w:r>
    </w:p>
    <w:p>
      <w:pPr>
        <w:pStyle w:val="para1"/>
        <w:ind w:left="446"/>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val="0"/>
          <w:kern w:val="1"/>
          <w:sz w:val="24"/>
          <w:szCs w:val="24"/>
          <w:lang w:eastAsia="zh-cn"/>
        </w:rPr>
      </w:pPr>
      <w:r>
        <w:rPr>
          <w:bCs w:val="0"/>
          <w:kern w:val="1"/>
          <w:sz w:val="24"/>
          <w:szCs w:val="24"/>
          <w:lang w:eastAsia="zh-cn"/>
        </w:rPr>
      </w:r>
    </w:p>
    <w:p>
      <w:pPr>
        <w:pStyle w:val="para1"/>
        <w:ind w:left="446"/>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val="0"/>
          <w:kern w:val="1"/>
          <w:sz w:val="24"/>
          <w:szCs w:val="24"/>
          <w:lang w:eastAsia="zh-cn"/>
        </w:rPr>
      </w:pPr>
      <w:r>
        <w:rPr>
          <w:bCs w:val="0"/>
          <w:kern w:val="1"/>
          <w:sz w:val="24"/>
          <w:szCs w:val="24"/>
          <w:lang w:eastAsia="zh-cn"/>
        </w:rPr>
      </w:r>
    </w:p>
    <w:p>
      <w:pPr>
        <w:pStyle w:val="para1"/>
        <w:ind w:left="446"/>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val="0"/>
          <w:kern w:val="1"/>
          <w:sz w:val="24"/>
          <w:szCs w:val="24"/>
          <w:lang w:eastAsia="zh-cn"/>
        </w:rPr>
      </w:pPr>
      <w:r>
        <w:rPr>
          <w:bCs w:val="0"/>
          <w:kern w:val="1"/>
          <w:sz w:val="24"/>
          <w:szCs w:val="24"/>
          <w:lang w:eastAsia="zh-cn"/>
        </w:rPr>
      </w:r>
    </w:p>
    <w:p>
      <w:pPr>
        <w:pStyle w:val="para1"/>
        <w:ind w:left="446"/>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val="0"/>
          <w:kern w:val="1"/>
          <w:sz w:val="24"/>
          <w:szCs w:val="24"/>
          <w:lang w:eastAsia="zh-cn"/>
        </w:rPr>
      </w:pPr>
      <w:r>
        <w:rPr>
          <w:bCs w:val="0"/>
          <w:kern w:val="1"/>
          <w:sz w:val="24"/>
          <w:szCs w:val="24"/>
          <w:lang w:eastAsia="zh-cn"/>
        </w:rPr>
      </w:r>
    </w:p>
    <w:p>
      <w:pPr>
        <w:pStyle w:val="para1"/>
        <w:ind w:left="446"/>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val="0"/>
          <w:kern w:val="1"/>
          <w:sz w:val="24"/>
          <w:szCs w:val="24"/>
          <w:lang w:eastAsia="zh-cn"/>
        </w:rPr>
      </w:pPr>
      <w:r>
        <w:rPr>
          <w:bCs w:val="0"/>
          <w:kern w:val="1"/>
          <w:sz w:val="24"/>
          <w:szCs w:val="24"/>
          <w:lang w:eastAsia="zh-cn"/>
        </w:rPr>
      </w:r>
    </w:p>
    <w:p>
      <w:pPr>
        <w:pStyle w:val="para1"/>
        <w:ind w:left="446"/>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val="0"/>
          <w:kern w:val="1"/>
          <w:sz w:val="24"/>
          <w:szCs w:val="24"/>
          <w:lang w:eastAsia="zh-cn"/>
        </w:rPr>
      </w:pPr>
      <w:r>
        <w:rPr>
          <w:bCs w:val="0"/>
          <w:kern w:val="1"/>
          <w:sz w:val="24"/>
          <w:szCs w:val="24"/>
          <w:lang w:eastAsia="zh-cn"/>
        </w:rPr>
      </w:r>
    </w:p>
    <w:p>
      <w:pPr>
        <w:pStyle w:val="para1"/>
        <w:ind w:left="446"/>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val="0"/>
          <w:kern w:val="1"/>
          <w:sz w:val="24"/>
          <w:szCs w:val="24"/>
          <w:lang w:eastAsia="zh-cn"/>
        </w:rPr>
      </w:pPr>
      <w:r>
        <w:rPr>
          <w:bCs w:val="0"/>
          <w:kern w:val="1"/>
          <w:sz w:val="24"/>
          <w:szCs w:val="24"/>
          <w:lang w:eastAsia="zh-cn"/>
        </w:rPr>
      </w:r>
    </w:p>
    <w:p>
      <w:pPr>
        <w:pStyle w:val="para1"/>
        <w:ind w:left="446"/>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val="0"/>
          <w:kern w:val="1"/>
          <w:sz w:val="24"/>
          <w:szCs w:val="24"/>
          <w:lang w:eastAsia="zh-cn"/>
        </w:rPr>
      </w:pPr>
      <w:r>
        <w:rPr>
          <w:bCs w:val="0"/>
          <w:kern w:val="1"/>
          <w:sz w:val="24"/>
          <w:szCs w:val="24"/>
          <w:lang w:eastAsia="zh-cn"/>
        </w:rPr>
      </w:r>
    </w:p>
    <w:p>
      <w:pPr>
        <w:pStyle w:val="para1"/>
        <w:ind w:left="446"/>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val="0"/>
          <w:kern w:val="1"/>
          <w:sz w:val="24"/>
          <w:szCs w:val="24"/>
          <w:lang w:eastAsia="zh-cn"/>
        </w:rPr>
      </w:pPr>
      <w:r>
        <w:rPr>
          <w:bCs w:val="0"/>
          <w:kern w:val="1"/>
          <w:sz w:val="24"/>
          <w:szCs w:val="24"/>
          <w:lang w:eastAsia="zh-cn"/>
        </w:rPr>
      </w:r>
    </w:p>
    <w:p>
      <w:pPr>
        <w:pStyle w:val="para1"/>
        <w:ind w:left="446"/>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val="0"/>
          <w:kern w:val="1"/>
          <w:sz w:val="24"/>
          <w:szCs w:val="24"/>
          <w:lang w:eastAsia="zh-cn"/>
        </w:rPr>
      </w:pPr>
      <w:r>
        <w:rPr>
          <w:bCs w:val="0"/>
          <w:kern w:val="1"/>
          <w:sz w:val="24"/>
          <w:szCs w:val="24"/>
          <w:lang w:eastAsia="zh-cn"/>
        </w:rPr>
      </w:r>
    </w:p>
    <w:p>
      <w:pPr>
        <w:pStyle w:val="para1"/>
        <w:ind w:left="446"/>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val="0"/>
          <w:kern w:val="1"/>
          <w:sz w:val="24"/>
          <w:szCs w:val="24"/>
          <w:lang w:eastAsia="zh-cn"/>
        </w:rPr>
      </w:pPr>
      <w:r>
        <w:rPr>
          <w:bCs w:val="0"/>
          <w:kern w:val="1"/>
          <w:sz w:val="24"/>
          <w:szCs w:val="24"/>
          <w:lang w:eastAsia="zh-cn"/>
        </w:rPr>
      </w:r>
    </w:p>
    <w:p>
      <w:pPr>
        <w:pStyle w:val="para1"/>
        <w:ind w:left="446"/>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val="0"/>
          <w:kern w:val="1"/>
          <w:sz w:val="24"/>
          <w:szCs w:val="24"/>
          <w:lang w:eastAsia="zh-cn"/>
        </w:rPr>
      </w:pPr>
      <w:r>
        <w:rPr>
          <w:bCs w:val="0"/>
          <w:kern w:val="1"/>
          <w:sz w:val="24"/>
          <w:szCs w:val="24"/>
          <w:lang w:eastAsia="zh-cn"/>
        </w:rPr>
      </w:r>
    </w:p>
    <w:p>
      <w:pPr>
        <w:pStyle w:val="para1"/>
        <w:ind w:left="446"/>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val="0"/>
          <w:kern w:val="1"/>
          <w:sz w:val="24"/>
          <w:szCs w:val="24"/>
          <w:lang w:eastAsia="zh-cn"/>
        </w:rPr>
      </w:pPr>
      <w:r>
        <w:rPr>
          <w:bCs w:val="0"/>
          <w:kern w:val="1"/>
          <w:sz w:val="24"/>
          <w:szCs w:val="24"/>
          <w:lang w:eastAsia="zh-cn"/>
        </w:rPr>
      </w:r>
    </w:p>
    <w:p>
      <w:pPr>
        <w:pStyle w:val="para1"/>
        <w:ind w:left="446"/>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val="0"/>
          <w:kern w:val="1"/>
          <w:sz w:val="24"/>
          <w:szCs w:val="24"/>
          <w:lang w:eastAsia="zh-cn"/>
        </w:rPr>
      </w:pPr>
      <w:r>
        <w:rPr>
          <w:bCs w:val="0"/>
          <w:kern w:val="1"/>
          <w:sz w:val="24"/>
          <w:szCs w:val="24"/>
          <w:lang w:eastAsia="zh-cn"/>
        </w:rPr>
      </w:r>
    </w:p>
    <w:p>
      <w:pPr>
        <w:pStyle w:val="para1"/>
        <w:ind w:left="446"/>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val="0"/>
          <w:kern w:val="1"/>
          <w:sz w:val="24"/>
          <w:szCs w:val="24"/>
          <w:lang w:eastAsia="zh-cn"/>
        </w:rPr>
      </w:pPr>
      <w:r>
        <w:rPr>
          <w:bCs w:val="0"/>
          <w:kern w:val="1"/>
          <w:sz w:val="24"/>
          <w:szCs w:val="24"/>
          <w:lang w:eastAsia="zh-cn"/>
        </w:rPr>
      </w:r>
    </w:p>
    <w:p>
      <w:pPr>
        <w:pStyle w:val="para1"/>
        <w:ind w:left="446"/>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val="0"/>
          <w:kern w:val="1"/>
          <w:sz w:val="24"/>
          <w:szCs w:val="24"/>
          <w:lang w:eastAsia="zh-cn"/>
        </w:rPr>
      </w:pPr>
      <w:r>
        <w:rPr>
          <w:bCs w:val="0"/>
          <w:kern w:val="1"/>
          <w:sz w:val="24"/>
          <w:szCs w:val="24"/>
          <w:lang w:eastAsia="zh-cn"/>
        </w:rPr>
        <w:t>Алматы, 2024 ж.</w:t>
      </w:r>
    </w:p>
    <w:p>
      <w:pPr>
        <w:sectPr>
          <w:footnotePr>
            <w:pos w:val="pageBottom"/>
            <w:numFmt w:val="decimal"/>
            <w:numStart w:val="1"/>
            <w:numRestart w:val="continuous"/>
          </w:footnotePr>
          <w:endnotePr>
            <w:pos w:val="docEnd"/>
            <w:numFmt w:val="lowerRoman"/>
            <w:numStart w:val="1"/>
            <w:numRestart w:val="continuous"/>
          </w:endnotePr>
          <w:type w:val="continuous"/>
          <w:pgSz w:h="16840" w:w="11910"/>
          <w:pgMar w:left="1701" w:top="1134" w:right="851" w:bottom="1134" w:header="0" w:footer="0"/>
          <w:paperSrc w:first="0" w:other="0" a="0" b="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foldMarks/>
        </w:sectPr>
      </w:pPr>
    </w:p>
    <w:p>
      <w:pPr>
        <w:pStyle w:val="para5"/>
        <w:ind w:left="0" w:firstLine="567"/>
        <w:spacing w:after="0"/>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pacing w:val="-4" w:percent="96"/>
          <w:kern w:val="1"/>
          <w:sz w:val="24"/>
          <w:szCs w:val="24"/>
          <w:lang w:eastAsia="zh-cn"/>
        </w:rPr>
      </w:pPr>
      <w:r>
        <w:rPr>
          <w:kern w:val="1"/>
          <w:sz w:val="24"/>
          <w:szCs w:val="24"/>
          <w:lang w:eastAsia="zh-cn"/>
        </w:rPr>
        <w:t>Пәннің қорытынды емтихан бағдарламасын</w:t>
      </w:r>
      <w:r>
        <w:rPr>
          <w:spacing w:val="-5" w:percent="95"/>
          <w:kern w:val="1"/>
          <w:sz w:val="24"/>
          <w:szCs w:val="24"/>
          <w:lang w:eastAsia="zh-cn"/>
        </w:rPr>
        <w:t xml:space="preserve"> </w:t>
      </w:r>
      <w:r>
        <w:rPr>
          <w:kern w:val="1"/>
          <w:sz w:val="24"/>
          <w:szCs w:val="24"/>
          <w:lang w:eastAsia="zh-cn"/>
        </w:rPr>
        <w:t>құрастырған -</w:t>
      </w:r>
      <w:r>
        <w:rPr>
          <w:spacing w:val="-4" w:percent="96"/>
          <w:kern w:val="1"/>
          <w:sz w:val="24"/>
          <w:szCs w:val="24"/>
          <w:lang w:eastAsia="zh-cn"/>
        </w:rPr>
        <w:t xml:space="preserve"> аға оқытушы А.А. Есекеева</w:t>
      </w:r>
      <w:r>
        <w:rPr>
          <w:spacing w:val="-4" w:percent="96"/>
          <w:kern w:val="1"/>
          <w:sz w:val="24"/>
          <w:szCs w:val="24"/>
          <w:lang w:eastAsia="zh-cn"/>
        </w:rPr>
      </w:r>
    </w:p>
    <w:p>
      <w:pPr>
        <w:pStyle w:val="para5"/>
        <w:ind w:left="0" w:firstLine="567"/>
        <w:spacing w:after="0"/>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t>6В04205 - «Құқықтану»</w:t>
      </w:r>
      <w:r>
        <w:rPr>
          <w:spacing w:val="17" w:percent="118"/>
          <w:kern w:val="1"/>
          <w:sz w:val="24"/>
          <w:szCs w:val="24"/>
          <w:lang w:eastAsia="zh-cn"/>
        </w:rPr>
        <w:t xml:space="preserve"> </w:t>
      </w:r>
      <w:r>
        <w:rPr>
          <w:kern w:val="1"/>
          <w:sz w:val="24"/>
          <w:szCs w:val="24"/>
          <w:lang w:eastAsia="zh-cn"/>
        </w:rPr>
        <w:t>білім беру бағдарламасы</w:t>
      </w:r>
      <w:r>
        <w:rPr>
          <w:spacing w:val="17" w:percent="118"/>
          <w:kern w:val="1"/>
          <w:sz w:val="24"/>
          <w:szCs w:val="24"/>
          <w:lang w:eastAsia="zh-cn"/>
        </w:rPr>
        <w:t xml:space="preserve"> </w:t>
      </w:r>
      <w:r>
        <w:rPr>
          <w:kern w:val="1"/>
          <w:sz w:val="24"/>
          <w:szCs w:val="24"/>
          <w:lang w:eastAsia="zh-cn"/>
        </w:rPr>
        <w:t>негізінде</w:t>
      </w:r>
      <w:r>
        <w:rPr>
          <w:spacing w:val="-48" w:percent="50"/>
          <w:kern w:val="1"/>
          <w:sz w:val="24"/>
          <w:szCs w:val="24"/>
          <w:lang w:eastAsia="zh-cn"/>
        </w:rPr>
        <w:t xml:space="preserve"> </w:t>
      </w:r>
      <w:r>
        <w:rPr>
          <w:kern w:val="1"/>
          <w:sz w:val="24"/>
          <w:szCs w:val="24"/>
          <w:lang w:eastAsia="zh-cn"/>
        </w:rPr>
        <w:t xml:space="preserve"> жасалынды.</w:t>
      </w:r>
    </w:p>
    <w:p>
      <w:pPr>
        <w:pStyle w:val="para5"/>
        <w:ind w:left="0" w:firstLine="567"/>
        <w:spacing w:after="0"/>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r>
    </w:p>
    <w:p>
      <w:pPr>
        <w:pStyle w:val="para5"/>
        <w:ind w:left="0" w:firstLine="567"/>
        <w:spacing w:after="0"/>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r>
    </w:p>
    <w:p>
      <w:pPr>
        <w:pStyle w:val="para5"/>
        <w:ind w:left="0" w:firstLine="567"/>
        <w:spacing w:after="0"/>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t>Кеден, қаржы және экологиялық</w:t>
      </w:r>
      <w:r>
        <w:rPr>
          <w:spacing w:val="24" w:percent="125"/>
          <w:kern w:val="1"/>
          <w:sz w:val="24"/>
          <w:szCs w:val="24"/>
          <w:lang w:eastAsia="zh-cn"/>
        </w:rPr>
        <w:t xml:space="preserve"> </w:t>
      </w:r>
      <w:r>
        <w:rPr>
          <w:kern w:val="1"/>
          <w:sz w:val="24"/>
          <w:szCs w:val="24"/>
          <w:lang w:eastAsia="zh-cn"/>
        </w:rPr>
        <w:t>құқық кафедрасының мәжілісінде қаралып ұсынылды.</w:t>
      </w:r>
    </w:p>
    <w:p>
      <w:pPr>
        <w:ind w:firstLine="567"/>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t>№ 05 Хаттама «  »                2024 ж.</w:t>
      </w:r>
    </w:p>
    <w:p>
      <w:pPr>
        <w:pStyle w:val="para2"/>
        <w:ind w:left="425" w:firstLine="142"/>
        <w:tabs defTabSz="720">
          <w:tab w:val="left" w:pos="5243" w:leader="none"/>
          <w:tab w:val="left" w:pos="6378"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pacing w:val="6" w:percent="106"/>
          <w:kern w:val="1"/>
          <w:sz w:val="24"/>
          <w:szCs w:val="24"/>
          <w:lang w:eastAsia="zh-cn"/>
        </w:rPr>
      </w:pPr>
      <w:r>
        <w:rPr>
          <w:kern w:val="1"/>
          <w:sz w:val="24"/>
          <w:szCs w:val="24"/>
          <w:lang w:eastAsia="zh-cn"/>
        </w:rPr>
        <w:t>Кафедра</w:t>
      </w:r>
      <w:r>
        <w:rPr>
          <w:spacing w:val="-9" w:percent="91"/>
          <w:kern w:val="1"/>
          <w:sz w:val="24"/>
          <w:szCs w:val="24"/>
          <w:lang w:eastAsia="zh-cn"/>
        </w:rPr>
        <w:t xml:space="preserve"> </w:t>
      </w:r>
      <w:r>
        <w:rPr>
          <w:kern w:val="1"/>
          <w:sz w:val="24"/>
          <w:szCs w:val="24"/>
          <w:lang w:eastAsia="zh-cn"/>
        </w:rPr>
        <w:t xml:space="preserve">меңгерушісі, з.ғ.д., профессор ________ </w:t>
      </w:r>
      <w:r>
        <w:rPr>
          <w:spacing w:val="6" w:percent="106"/>
          <w:kern w:val="1"/>
          <w:sz w:val="24"/>
          <w:szCs w:val="24"/>
          <w:lang w:eastAsia="zh-cn"/>
        </w:rPr>
        <w:t>Г.А. Куаналиева</w:t>
      </w:r>
      <w:r>
        <w:rPr>
          <w:spacing w:val="6" w:percent="106"/>
          <w:kern w:val="1"/>
          <w:sz w:val="24"/>
          <w:szCs w:val="24"/>
          <w:lang w:eastAsia="zh-cn"/>
        </w:rPr>
      </w:r>
    </w:p>
    <w:p>
      <w:pPr>
        <w:ind w:firstLine="540"/>
        <w:spacing/>
        <w:jc w:val="center"/>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ind w:firstLine="540"/>
        <w:spacing/>
        <w:jc w:val="center"/>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ind w:firstLine="567"/>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t>Білім беру және оқыту сапасы бойынша акaдемиялық комитетпен мақұлданды.</w:t>
      </w:r>
    </w:p>
    <w:p>
      <w:pPr>
        <w:ind w:firstLine="567"/>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t>№ 03 хаттама «  »           2024 ж.</w:t>
      </w:r>
    </w:p>
    <w:p>
      <w:pPr>
        <w:ind w:firstLine="567"/>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t xml:space="preserve">Төрайымы _____________ А.А. Урисбаева </w:t>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r>
    </w:p>
    <w:p>
      <w:pPr>
        <w:ind w:firstLine="567"/>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t>Факультеттің Ғылыми кеңесінде ұсынылды.</w:t>
      </w:r>
    </w:p>
    <w:p>
      <w:pPr>
        <w:ind w:firstLine="567"/>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bookmarkStart w:id="1" w:name="_Hlk151635106"/>
      <w:r/>
      <w:r>
        <w:rPr>
          <w:kern w:val="1"/>
          <w:sz w:val="24"/>
          <w:szCs w:val="24"/>
          <w:lang w:eastAsia="zh-cn"/>
        </w:rPr>
        <w:t>№ 03 хаттама «  »          2024 ж.</w:t>
      </w:r>
      <w:r>
        <w:rPr>
          <w:kern w:val="1"/>
          <w:sz w:val="24"/>
          <w:szCs w:val="24"/>
          <w:lang w:eastAsia="zh-cn"/>
        </w:rPr>
      </w:r>
    </w:p>
    <w:p>
      <w:pPr>
        <w:ind w:firstLine="567"/>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bookmarkEnd w:id="1"/>
      <w:r/>
      <w:r>
        <w:rPr>
          <w:kern w:val="1"/>
          <w:sz w:val="24"/>
          <w:szCs w:val="24"/>
          <w:lang w:eastAsia="zh-cn"/>
        </w:rPr>
        <w:t xml:space="preserve">Ғалым хатшы _____________ Г.М. Атаханова </w:t>
      </w:r>
      <w:r>
        <w:rPr>
          <w:kern w:val="1"/>
          <w:sz w:val="24"/>
          <w:szCs w:val="24"/>
          <w:lang w:eastAsia="zh-cn"/>
        </w:rPr>
      </w:r>
    </w:p>
    <w:p>
      <w:pPr>
        <w:pStyle w:val="para2"/>
        <w:ind w:left="102" w:right="105" w:firstLine="566"/>
        <w:spacing w:before="73"/>
        <w:tabs defTabSz="720">
          <w:tab w:val="left" w:pos="3642"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r>
    </w:p>
    <w:p>
      <w:pPr>
        <w:pStyle w:val="para5"/>
        <w:ind w:left="0" w:firstLine="360"/>
        <w:spacing w:after="0"/>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r>
    </w:p>
    <w:p>
      <w:pPr>
        <w:pStyle w:val="para2"/>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r>
    </w:p>
    <w:p>
      <w:pPr>
        <w:pStyle w:val="para2"/>
        <w:ind w:left="668"/>
        <w:spacing w:before="23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pacing w:val="-4" w:percent="96"/>
          <w:kern w:val="1"/>
          <w:sz w:val="24"/>
          <w:szCs w:val="24"/>
          <w:lang w:eastAsia="zh-cn"/>
        </w:rPr>
      </w:pPr>
      <w:r>
        <w:rPr>
          <w:spacing w:val="-4" w:percent="96"/>
          <w:kern w:val="1"/>
          <w:sz w:val="24"/>
          <w:szCs w:val="24"/>
          <w:lang w:eastAsia="zh-cn"/>
        </w:rPr>
        <w:t>.</w:t>
      </w:r>
    </w:p>
    <w:p>
      <w:pPr>
        <w:pStyle w:val="para2"/>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r>
    </w:p>
    <w:p>
      <w:pPr>
        <w:ind w:firstLine="567"/>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ind w:firstLine="567"/>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ind w:firstLine="567"/>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ind w:firstLine="567"/>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ind w:firstLine="567"/>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ind w:firstLine="567"/>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ind w:firstLine="567"/>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ind w:firstLine="567"/>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ind w:firstLine="567"/>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ind w:firstLine="567"/>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ind w:firstLine="567"/>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ind w:firstLine="567"/>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ind w:firstLine="567"/>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ind w:firstLine="567"/>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ind w:firstLine="567"/>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ind w:firstLine="567"/>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ind w:firstLine="567"/>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ind w:firstLine="567"/>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ind w:firstLine="567"/>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ind w:firstLine="567"/>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t>Кіріспе</w:t>
      </w:r>
    </w:p>
    <w:p>
      <w:pPr>
        <w:ind w:firstLine="567"/>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pStyle w:val="para2"/>
        <w:ind w:left="119" w:right="109" w:firstLine="542"/>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t>6B04205 – «Құқықтану» мамандығы бойынша бакалавриаттың білім алу бағдарламасын игеру ҚР Мемлекеттік жалпыға міндетті білім стандартына және академиялық саясатқа сәйкес, пәнді оқып игеру емтиханды тапсырудан тұратын қорытынды бақылаумен аяқталады. Емтихан - қорытынды бақылауға бакалавриаттың оқу бағдарламалары мен оқу жұмыс жоспарына сәйкес, пән бойынша білім алу процесін аяқтап тиісті балл жинаған студенттер</w:t>
      </w:r>
      <w:r>
        <w:rPr>
          <w:spacing w:val="-14" w:percent="85"/>
          <w:kern w:val="1"/>
          <w:sz w:val="24"/>
          <w:szCs w:val="24"/>
          <w:lang w:eastAsia="zh-cn"/>
        </w:rPr>
        <w:t xml:space="preserve"> </w:t>
      </w:r>
      <w:r>
        <w:rPr>
          <w:kern w:val="1"/>
          <w:sz w:val="24"/>
          <w:szCs w:val="24"/>
          <w:lang w:eastAsia="zh-cn"/>
        </w:rPr>
        <w:t>ғана</w:t>
      </w:r>
      <w:r>
        <w:rPr>
          <w:spacing w:val="-13" w:percent="86"/>
          <w:kern w:val="1"/>
          <w:sz w:val="24"/>
          <w:szCs w:val="24"/>
          <w:lang w:eastAsia="zh-cn"/>
        </w:rPr>
        <w:t xml:space="preserve"> </w:t>
      </w:r>
      <w:r>
        <w:rPr>
          <w:kern w:val="1"/>
          <w:sz w:val="24"/>
          <w:szCs w:val="24"/>
          <w:lang w:eastAsia="zh-cn"/>
        </w:rPr>
        <w:t>жіберіледі.</w:t>
      </w:r>
      <w:r>
        <w:rPr>
          <w:spacing w:val="-5" w:percent="95"/>
          <w:kern w:val="1"/>
          <w:sz w:val="24"/>
          <w:szCs w:val="24"/>
          <w:lang w:eastAsia="zh-cn"/>
        </w:rPr>
        <w:t xml:space="preserve"> </w:t>
      </w:r>
      <w:r>
        <w:rPr>
          <w:kern w:val="1"/>
          <w:sz w:val="24"/>
          <w:szCs w:val="24"/>
          <w:lang w:eastAsia="zh-cn"/>
        </w:rPr>
        <w:t>Емтихан</w:t>
      </w:r>
      <w:r>
        <w:rPr>
          <w:spacing w:val="-13" w:percent="86"/>
          <w:kern w:val="1"/>
          <w:sz w:val="24"/>
          <w:szCs w:val="24"/>
          <w:lang w:eastAsia="zh-cn"/>
        </w:rPr>
        <w:t xml:space="preserve"> </w:t>
      </w:r>
      <w:r>
        <w:rPr>
          <w:kern w:val="1"/>
          <w:sz w:val="24"/>
          <w:szCs w:val="24"/>
          <w:lang w:eastAsia="zh-cn"/>
        </w:rPr>
        <w:t>академиялық</w:t>
      </w:r>
      <w:r>
        <w:rPr>
          <w:spacing w:val="-14" w:percent="85"/>
          <w:kern w:val="1"/>
          <w:sz w:val="24"/>
          <w:szCs w:val="24"/>
          <w:lang w:eastAsia="zh-cn"/>
        </w:rPr>
        <w:t xml:space="preserve"> </w:t>
      </w:r>
      <w:r>
        <w:rPr>
          <w:kern w:val="1"/>
          <w:sz w:val="24"/>
          <w:szCs w:val="24"/>
          <w:lang w:eastAsia="zh-cn"/>
        </w:rPr>
        <w:t>күнтізбеде</w:t>
      </w:r>
      <w:r>
        <w:rPr>
          <w:spacing w:val="-14" w:percent="85"/>
          <w:kern w:val="1"/>
          <w:sz w:val="24"/>
          <w:szCs w:val="24"/>
          <w:lang w:eastAsia="zh-cn"/>
        </w:rPr>
        <w:t xml:space="preserve"> </w:t>
      </w:r>
      <w:r>
        <w:rPr>
          <w:kern w:val="1"/>
          <w:sz w:val="24"/>
          <w:szCs w:val="24"/>
          <w:lang w:eastAsia="zh-cn"/>
        </w:rPr>
        <w:t>және</w:t>
      </w:r>
      <w:r>
        <w:rPr>
          <w:spacing w:val="-12" w:percent="87"/>
          <w:kern w:val="1"/>
          <w:sz w:val="24"/>
          <w:szCs w:val="24"/>
          <w:lang w:eastAsia="zh-cn"/>
        </w:rPr>
        <w:t xml:space="preserve"> </w:t>
      </w:r>
      <w:r>
        <w:rPr>
          <w:kern w:val="1"/>
          <w:sz w:val="24"/>
          <w:szCs w:val="24"/>
          <w:lang w:eastAsia="zh-cn"/>
        </w:rPr>
        <w:t>оқу</w:t>
      </w:r>
      <w:r>
        <w:rPr>
          <w:spacing w:val="-21" w:percent="78"/>
          <w:kern w:val="1"/>
          <w:sz w:val="24"/>
          <w:szCs w:val="24"/>
          <w:lang w:eastAsia="zh-cn"/>
        </w:rPr>
        <w:t xml:space="preserve"> </w:t>
      </w:r>
      <w:r>
        <w:rPr>
          <w:kern w:val="1"/>
          <w:sz w:val="24"/>
          <w:szCs w:val="24"/>
          <w:lang w:eastAsia="zh-cn"/>
        </w:rPr>
        <w:t>жұмыс жоспарында көрсетілген мерзімдерде</w:t>
      </w:r>
      <w:r>
        <w:rPr>
          <w:spacing w:val="4" w:percent="104"/>
          <w:kern w:val="1"/>
          <w:sz w:val="24"/>
          <w:szCs w:val="24"/>
          <w:lang w:eastAsia="zh-cn"/>
        </w:rPr>
        <w:t xml:space="preserve"> </w:t>
      </w:r>
      <w:r>
        <w:rPr>
          <w:kern w:val="1"/>
          <w:sz w:val="24"/>
          <w:szCs w:val="24"/>
          <w:lang w:eastAsia="zh-cn"/>
        </w:rPr>
        <w:t>өткізіледі.</w:t>
      </w:r>
    </w:p>
    <w:p>
      <w:pPr>
        <w:pStyle w:val="para2"/>
        <w:ind w:left="119" w:right="112" w:firstLine="542"/>
        <w:spacing w:before="3"/>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t>Қанағаттанарлықсыз баға алған студенттерге осы кезеңдегі қорытынды бақылауды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w:t>
      </w:r>
      <w:r>
        <w:rPr>
          <w:spacing w:val="-22" w:percent="77"/>
          <w:kern w:val="1"/>
          <w:sz w:val="24"/>
          <w:szCs w:val="24"/>
          <w:lang w:eastAsia="zh-cn"/>
        </w:rPr>
        <w:t xml:space="preserve"> </w:t>
      </w:r>
      <w:r>
        <w:rPr>
          <w:kern w:val="1"/>
          <w:sz w:val="24"/>
          <w:szCs w:val="24"/>
          <w:lang w:eastAsia="zh-cn"/>
        </w:rPr>
        <w:t>баға</w:t>
      </w:r>
      <w:r>
        <w:rPr>
          <w:spacing w:val="-20" w:percent="79"/>
          <w:kern w:val="1"/>
          <w:sz w:val="24"/>
          <w:szCs w:val="24"/>
          <w:lang w:eastAsia="zh-cn"/>
        </w:rPr>
        <w:t xml:space="preserve"> </w:t>
      </w:r>
      <w:r>
        <w:rPr>
          <w:kern w:val="1"/>
          <w:sz w:val="24"/>
          <w:szCs w:val="24"/>
          <w:lang w:eastAsia="zh-cn"/>
        </w:rPr>
        <w:t>алған</w:t>
      </w:r>
      <w:r>
        <w:rPr>
          <w:spacing w:val="-21" w:percent="78"/>
          <w:kern w:val="1"/>
          <w:sz w:val="24"/>
          <w:szCs w:val="24"/>
          <w:lang w:eastAsia="zh-cn"/>
        </w:rPr>
        <w:t xml:space="preserve"> </w:t>
      </w:r>
      <w:r>
        <w:rPr>
          <w:kern w:val="1"/>
          <w:sz w:val="24"/>
          <w:szCs w:val="24"/>
          <w:lang w:eastAsia="zh-cn"/>
        </w:rPr>
        <w:t>студент</w:t>
      </w:r>
      <w:r>
        <w:rPr>
          <w:spacing w:val="-18" w:percent="81"/>
          <w:kern w:val="1"/>
          <w:sz w:val="24"/>
          <w:szCs w:val="24"/>
          <w:lang w:eastAsia="zh-cn"/>
        </w:rPr>
        <w:t xml:space="preserve"> университет </w:t>
      </w:r>
      <w:r>
        <w:rPr>
          <w:kern w:val="1"/>
          <w:sz w:val="24"/>
          <w:szCs w:val="24"/>
          <w:lang w:eastAsia="zh-cn"/>
        </w:rPr>
        <w:t>бұйрығымен</w:t>
      </w:r>
      <w:r>
        <w:rPr>
          <w:spacing w:val="-9" w:percent="91"/>
          <w:kern w:val="1"/>
          <w:sz w:val="24"/>
          <w:szCs w:val="24"/>
          <w:lang w:eastAsia="zh-cn"/>
        </w:rPr>
        <w:t xml:space="preserve"> </w:t>
      </w:r>
      <w:r>
        <w:rPr>
          <w:kern w:val="1"/>
          <w:sz w:val="24"/>
          <w:szCs w:val="24"/>
          <w:lang w:eastAsia="zh-cn"/>
        </w:rPr>
        <w:t>қайтадан</w:t>
      </w:r>
      <w:r>
        <w:rPr>
          <w:spacing w:val="-21" w:percent="78"/>
          <w:kern w:val="1"/>
          <w:sz w:val="24"/>
          <w:szCs w:val="24"/>
          <w:lang w:eastAsia="zh-cn"/>
        </w:rPr>
        <w:t xml:space="preserve"> </w:t>
      </w:r>
      <w:r>
        <w:rPr>
          <w:kern w:val="1"/>
          <w:sz w:val="24"/>
          <w:szCs w:val="24"/>
          <w:lang w:eastAsia="zh-cn"/>
        </w:rPr>
        <w:t>оқуға</w:t>
      </w:r>
      <w:r>
        <w:rPr>
          <w:spacing w:val="-21" w:percent="78"/>
          <w:kern w:val="1"/>
          <w:sz w:val="24"/>
          <w:szCs w:val="24"/>
          <w:lang w:eastAsia="zh-cn"/>
        </w:rPr>
        <w:t xml:space="preserve"> </w:t>
      </w:r>
      <w:r>
        <w:rPr>
          <w:kern w:val="1"/>
          <w:sz w:val="24"/>
          <w:szCs w:val="24"/>
          <w:lang w:eastAsia="zh-cn"/>
        </w:rPr>
        <w:t xml:space="preserve">тіркеледі, егер емтиханнан 25 балл алса онда қайта тапсыру </w:t>
      </w:r>
      <w:r>
        <w:rPr>
          <w:spacing w:val="-5" w:percent="95"/>
          <w:kern w:val="1"/>
          <w:sz w:val="24"/>
          <w:szCs w:val="24"/>
          <w:lang w:eastAsia="zh-cn"/>
        </w:rPr>
        <w:t xml:space="preserve">FX </w:t>
      </w:r>
      <w:r>
        <w:rPr>
          <w:kern w:val="1"/>
          <w:sz w:val="24"/>
          <w:szCs w:val="24"/>
          <w:lang w:eastAsia="zh-cn"/>
        </w:rPr>
        <w:t>қайта тапсырылады. Қанағаттанарлықсыз баға алғаннан кейінгі берілген денсаулық жағдайына байланысты құжаттар</w:t>
      </w:r>
      <w:r>
        <w:rPr>
          <w:spacing w:val="1" w:percent="101"/>
          <w:kern w:val="1"/>
          <w:sz w:val="24"/>
          <w:szCs w:val="24"/>
          <w:lang w:eastAsia="zh-cn"/>
        </w:rPr>
        <w:t xml:space="preserve"> </w:t>
      </w:r>
      <w:r>
        <w:rPr>
          <w:kern w:val="1"/>
          <w:sz w:val="24"/>
          <w:szCs w:val="24"/>
          <w:lang w:eastAsia="zh-cn"/>
        </w:rPr>
        <w:t>қарастырылмайды.</w:t>
      </w:r>
    </w:p>
    <w:p>
      <w:pPr>
        <w:pStyle w:val="para2"/>
        <w:ind w:left="119" w:right="119" w:firstLine="542"/>
        <w:spacing w:before="2"/>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t>Бағаны көтермелеу мақсатында емтиханды қайта тапсыруға жол берілмейді.</w:t>
      </w:r>
    </w:p>
    <w:p>
      <w:pPr>
        <w:pStyle w:val="para2"/>
        <w:ind w:left="119" w:right="107" w:firstLine="542"/>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t>Емтихан сұрақтары тексерістен өтіп бекітіледі. Биылғы оқу жылының ерекшеліне байланысты БП МК циклындағы пәндер Универ жүйесінде тест тапсыру арқылы қабылданады. Тест сұрақтары нұсқаулықпен бекітілген үлгідегі үш деңгейдегі осы оқу жоспарындағы тақырыптармен қамтылған 200 сұрақтан 1,2,3 дұрыс жауаппен құрылған.</w:t>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t>Халықаралық құқық – 5 кредит.</w:t>
      </w:r>
    </w:p>
    <w:p>
      <w:pPr>
        <w:ind w:right="676"/>
        <w:spacing w:before="4"/>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t>Емтихан сұрақтары қамтылатын тақырыптар:</w:t>
      </w:r>
    </w:p>
    <w:p>
      <w:pPr>
        <w:ind w:right="676"/>
        <w:spacing w:before="4"/>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ind w:right="-49" w:firstLine="567"/>
        <w:spacing w:before="4"/>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eastAsia="ru-ru"/>
        </w:rPr>
      </w:pPr>
      <w:r>
        <w:rPr>
          <w:b/>
          <w:kern w:val="1"/>
          <w:sz w:val="24"/>
          <w:szCs w:val="24"/>
          <w:lang w:eastAsia="zh-cn"/>
        </w:rPr>
        <w:t>1 - тақырып.</w:t>
      </w:r>
      <w:r>
        <w:rPr>
          <w:kern w:val="1"/>
          <w:sz w:val="24"/>
          <w:szCs w:val="24"/>
          <w:lang w:eastAsia="zh-cn"/>
        </w:rPr>
        <w:t xml:space="preserve"> </w:t>
      </w:r>
      <w:r>
        <w:rPr>
          <w:b/>
          <w:bCs/>
          <w:sz w:val="24"/>
          <w:szCs w:val="24"/>
          <w:lang w:eastAsia="ru-ru"/>
        </w:rPr>
        <w:t>Халықаралық және ішкі мемлекеттік құқықтардың арақатынасы</w:t>
      </w:r>
      <w:r>
        <w:rPr>
          <w:sz w:val="24"/>
          <w:szCs w:val="24"/>
          <w:lang w:eastAsia="ru-ru"/>
        </w:rPr>
      </w:r>
    </w:p>
    <w:p>
      <w:pPr>
        <w:tabs defTabSz="708"/>
        <w:rPr>
          <w:sz w:val="24"/>
          <w:szCs w:val="24"/>
          <w:lang w:eastAsia="ru-ru"/>
        </w:rPr>
      </w:pPr>
      <w:r>
        <w:rPr>
          <w:sz w:val="24"/>
          <w:szCs w:val="24"/>
          <w:lang w:eastAsia="ru-ru"/>
        </w:rPr>
        <w:t>1. Халықаралық қатынастардың жүйеленуi және үдемелi дамуы.</w:t>
      </w:r>
    </w:p>
    <w:p>
      <w:pPr>
        <w:tabs defTabSz="708"/>
        <w:rPr>
          <w:sz w:val="24"/>
          <w:szCs w:val="24"/>
          <w:lang w:eastAsia="ru-ru"/>
        </w:rPr>
      </w:pPr>
      <w:r>
        <w:rPr>
          <w:sz w:val="24"/>
          <w:szCs w:val="24"/>
          <w:lang w:eastAsia="ru-ru"/>
        </w:rPr>
        <w:t>2. Халықаралық жария және халықаралық жеке құқық.</w:t>
      </w:r>
    </w:p>
    <w:p>
      <w:pPr>
        <w:pStyle w:val="para3"/>
        <w:ind w:left="0" w:firstLine="0"/>
        <w:spacing/>
        <w:contextualSpacing/>
        <w:jc w:val="left"/>
        <w:widowControl/>
        <w:tabs defTabSz="708"/>
        <w:rPr>
          <w:sz w:val="24"/>
          <w:szCs w:val="24"/>
          <w:lang w:eastAsia="ru-ru"/>
        </w:rPr>
      </w:pPr>
      <w:r>
        <w:rPr>
          <w:sz w:val="24"/>
          <w:szCs w:val="24"/>
          <w:lang w:eastAsia="ru-ru"/>
        </w:rPr>
        <w:t>3. Халықаралық және iшкi мемлекеттiк құқықтардың арақатынасы</w:t>
      </w:r>
    </w:p>
    <w:p>
      <w:pPr>
        <w:ind w:right="-49" w:firstLine="567"/>
        <w:spacing w:before="4"/>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iCs/>
          <w:sz w:val="24"/>
          <w:szCs w:val="24"/>
          <w:lang w:eastAsia="ru-ru"/>
        </w:rPr>
      </w:pPr>
      <w:r>
        <w:rPr>
          <w:b/>
          <w:kern w:val="1"/>
          <w:sz w:val="24"/>
          <w:szCs w:val="24"/>
          <w:lang w:eastAsia="zh-cn"/>
        </w:rPr>
        <w:t>2 – тақырып.</w:t>
      </w:r>
      <w:r>
        <w:rPr>
          <w:kern w:val="1"/>
          <w:sz w:val="24"/>
          <w:szCs w:val="24"/>
          <w:lang w:eastAsia="zh-cn"/>
        </w:rPr>
        <w:t xml:space="preserve"> </w:t>
      </w:r>
      <w:r>
        <w:rPr>
          <w:b/>
          <w:bCs/>
          <w:iCs/>
          <w:sz w:val="24"/>
          <w:szCs w:val="24"/>
          <w:lang w:eastAsia="ru-ru"/>
        </w:rPr>
        <w:t>Халықаралық жария құқықтың қайнар көздері</w:t>
      </w:r>
      <w:r>
        <w:rPr>
          <w:b/>
          <w:bCs/>
          <w:iCs/>
          <w:sz w:val="24"/>
          <w:szCs w:val="24"/>
          <w:lang w:eastAsia="ru-ru"/>
        </w:rPr>
      </w:r>
    </w:p>
    <w:p>
      <w:pPr>
        <w:tabs defTabSz="708"/>
        <w:rPr>
          <w:sz w:val="24"/>
          <w:szCs w:val="24"/>
          <w:lang w:eastAsia="ru-ru"/>
        </w:rPr>
      </w:pPr>
      <w:r>
        <w:rPr>
          <w:sz w:val="24"/>
          <w:szCs w:val="24"/>
          <w:lang w:eastAsia="ru-ru"/>
        </w:rPr>
        <w:t>1.Халықаралық құқықтық нормалар ұғымы және оның белгiлерi.</w:t>
      </w:r>
    </w:p>
    <w:p>
      <w:pPr>
        <w:tabs defTabSz="708"/>
        <w:rPr>
          <w:sz w:val="24"/>
          <w:szCs w:val="24"/>
          <w:lang w:eastAsia="ru-ru"/>
        </w:rPr>
      </w:pPr>
      <w:r>
        <w:rPr>
          <w:sz w:val="24"/>
          <w:szCs w:val="24"/>
          <w:lang w:eastAsia="ru-ru"/>
        </w:rPr>
        <w:t>2.Халықаралық құқықтық нормалардың жiктелуi.</w:t>
      </w:r>
    </w:p>
    <w:p>
      <w:pPr>
        <w:spacing w:after="200"/>
        <w:contextualSpacing/>
        <w:jc w:val="both"/>
        <w:tabs defTabSz="708"/>
        <w:rPr>
          <w:sz w:val="24"/>
          <w:szCs w:val="24"/>
          <w:lang w:eastAsia="ru-ru"/>
        </w:rPr>
      </w:pPr>
      <w:r>
        <w:rPr>
          <w:sz w:val="24"/>
          <w:szCs w:val="24"/>
          <w:lang w:eastAsia="ru-ru"/>
        </w:rPr>
        <w:t>3.Халықаралық жария құқықтың қайнар көздерi ұғымы және түрлерi</w:t>
      </w:r>
    </w:p>
    <w:p>
      <w:pPr>
        <w:ind w:right="-49" w:firstLine="567"/>
        <w:spacing w:before="4"/>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eastAsia="ru-ru"/>
        </w:rPr>
      </w:pPr>
      <w:r>
        <w:rPr>
          <w:b/>
          <w:kern w:val="1"/>
          <w:sz w:val="24"/>
          <w:szCs w:val="24"/>
          <w:lang w:eastAsia="zh-cn" w:bidi="ru-ru"/>
        </w:rPr>
        <w:t>3 – тақырып.</w:t>
      </w:r>
      <w:r>
        <w:rPr>
          <w:kern w:val="1"/>
          <w:sz w:val="24"/>
          <w:szCs w:val="24"/>
          <w:lang w:eastAsia="zh-cn" w:bidi="ru-ru"/>
        </w:rPr>
        <w:t xml:space="preserve"> </w:t>
      </w:r>
      <w:r>
        <w:rPr>
          <w:b/>
          <w:sz w:val="24"/>
          <w:szCs w:val="24"/>
          <w:lang w:eastAsia="ru-ru"/>
        </w:rPr>
        <w:t>Халықаралық жария құқықтың субъектілері</w:t>
      </w:r>
      <w:r>
        <w:rPr>
          <w:sz w:val="24"/>
          <w:szCs w:val="24"/>
          <w:lang w:eastAsia="ru-ru"/>
        </w:rPr>
      </w:r>
    </w:p>
    <w:p>
      <w:pPr>
        <w:tabs defTabSz="708"/>
        <w:rPr>
          <w:sz w:val="24"/>
          <w:szCs w:val="24"/>
          <w:lang w:eastAsia="ru-ru"/>
        </w:rPr>
      </w:pPr>
      <w:r>
        <w:rPr>
          <w:sz w:val="24"/>
          <w:szCs w:val="24"/>
          <w:lang w:eastAsia="ru-ru"/>
        </w:rPr>
        <w:t xml:space="preserve">1.Халықаралық құқық субьектiлерi ұғымы және түрлерi </w:t>
      </w:r>
    </w:p>
    <w:p>
      <w:pPr>
        <w:tabs defTabSz="708"/>
        <w:rPr>
          <w:sz w:val="24"/>
          <w:szCs w:val="24"/>
          <w:lang w:eastAsia="ru-ru"/>
        </w:rPr>
      </w:pPr>
      <w:r>
        <w:rPr>
          <w:sz w:val="24"/>
          <w:szCs w:val="24"/>
          <w:lang w:eastAsia="ru-ru"/>
        </w:rPr>
        <w:t>2.Халықаралық құқықтағы тану институты.</w:t>
      </w:r>
    </w:p>
    <w:p>
      <w:pPr>
        <w:spacing/>
        <w:jc w:val="both"/>
        <w:tabs defTabSz="708"/>
        <w:rPr>
          <w:sz w:val="24"/>
          <w:szCs w:val="24"/>
          <w:lang w:eastAsia="ru-ru"/>
        </w:rPr>
      </w:pPr>
      <w:r>
        <w:rPr>
          <w:sz w:val="24"/>
          <w:szCs w:val="24"/>
          <w:lang w:eastAsia="ru-ru"/>
        </w:rPr>
        <w:t>3.Халықаралық құқықмирасқорлық институты.</w:t>
      </w:r>
    </w:p>
    <w:p>
      <w:pPr>
        <w:ind w:right="-49" w:firstLine="567"/>
        <w:spacing w:before="4"/>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eastAsia="ru-ru"/>
        </w:rPr>
      </w:pPr>
      <w:r>
        <w:rPr>
          <w:b/>
          <w:kern w:val="1"/>
          <w:sz w:val="24"/>
          <w:szCs w:val="24"/>
          <w:lang w:eastAsia="zh-cn"/>
        </w:rPr>
        <w:t>4 – тақырып.</w:t>
      </w:r>
      <w:r>
        <w:rPr>
          <w:kern w:val="1"/>
          <w:sz w:val="24"/>
          <w:szCs w:val="24"/>
          <w:lang w:eastAsia="zh-cn"/>
        </w:rPr>
        <w:t xml:space="preserve"> </w:t>
      </w:r>
      <w:r>
        <w:rPr>
          <w:b/>
          <w:sz w:val="24"/>
          <w:szCs w:val="24"/>
          <w:lang w:eastAsia="ru-ru"/>
        </w:rPr>
        <w:t>Халықаралық шарттар құқықтары</w:t>
      </w:r>
      <w:r>
        <w:rPr>
          <w:sz w:val="24"/>
          <w:szCs w:val="24"/>
          <w:lang w:eastAsia="ru-ru"/>
        </w:rPr>
      </w:r>
    </w:p>
    <w:p>
      <w:pPr>
        <w:pStyle w:val="para7"/>
        <w:spacing w:before="0" w:after="0" w:beforeAutospacing="0" w:afterAutospacing="0"/>
        <w:rPr>
          <w:lang w:val="kk-kz"/>
        </w:rPr>
      </w:pPr>
      <w:r>
        <w:rPr>
          <w:lang w:val="kk-kz"/>
        </w:rPr>
        <w:t>1.Халықаралық жария құқықтың бiр саласы-халықаралық шарттар құқықтары</w:t>
      </w:r>
    </w:p>
    <w:p>
      <w:pPr>
        <w:pStyle w:val="para7"/>
        <w:spacing w:before="0" w:after="0" w:beforeAutospacing="0" w:afterAutospacing="0"/>
        <w:rPr>
          <w:lang w:val="kk-kz"/>
        </w:rPr>
      </w:pPr>
      <w:r>
        <w:rPr>
          <w:lang w:val="kk-kz"/>
        </w:rPr>
        <w:t>2.Халықаралық шарттардың құқықтық табиғаты</w:t>
      </w:r>
    </w:p>
    <w:p>
      <w:pPr>
        <w:pStyle w:val="para7"/>
        <w:spacing w:before="0" w:after="0" w:beforeAutospacing="0" w:afterAutospacing="0"/>
        <w:rPr>
          <w:lang w:val="kk-kz"/>
        </w:rPr>
      </w:pPr>
      <w:r>
        <w:rPr>
          <w:lang w:val="kk-kz"/>
        </w:rPr>
        <w:t>3.Халықаралық шарттарды жасаудың негiзгi сатылары</w:t>
      </w:r>
    </w:p>
    <w:p>
      <w:pPr>
        <w:pStyle w:val="para7"/>
        <w:spacing w:before="0" w:after="0" w:beforeAutospacing="0" w:afterAutospacing="0"/>
        <w:rPr>
          <w:lang w:val="kk-kz"/>
        </w:rPr>
      </w:pPr>
      <w:r>
        <w:rPr>
          <w:lang w:val="kk-kz"/>
        </w:rPr>
        <w:t>4.Халықаралық шарттардың әрекет етуi және тоқтатылуы</w:t>
      </w:r>
    </w:p>
    <w:p>
      <w:pPr>
        <w:pStyle w:val="para7"/>
        <w:spacing w:before="0" w:after="0" w:beforeAutospacing="0" w:afterAutospacing="0"/>
      </w:pPr>
      <w:r>
        <w:t>5.Халықаралық шарттардың жарамсыздығы</w:t>
      </w:r>
    </w:p>
    <w:p>
      <w:pPr>
        <w:ind w:right="-49" w:firstLine="567"/>
        <w:spacing w:before="4"/>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eastAsia="ru-ru"/>
        </w:rPr>
      </w:pPr>
      <w:r>
        <w:rPr>
          <w:b/>
          <w:kern w:val="1"/>
          <w:sz w:val="24"/>
          <w:szCs w:val="24"/>
          <w:shd w:val="clear" w:fill="ffffff"/>
          <w:lang w:eastAsia="zh-cn"/>
        </w:rPr>
        <w:t>5 – тақырып.</w:t>
      </w:r>
      <w:r>
        <w:rPr>
          <w:kern w:val="1"/>
          <w:sz w:val="24"/>
          <w:szCs w:val="24"/>
          <w:shd w:val="clear" w:fill="ffffff"/>
          <w:lang w:eastAsia="zh-cn"/>
        </w:rPr>
        <w:t xml:space="preserve"> </w:t>
      </w:r>
      <w:r>
        <w:rPr>
          <w:b/>
          <w:bCs/>
          <w:sz w:val="24"/>
          <w:szCs w:val="24"/>
          <w:lang w:eastAsia="ru-ru"/>
        </w:rPr>
        <w:t>Халықаралық ұйымдар құқығы</w:t>
      </w:r>
      <w:r>
        <w:rPr>
          <w:sz w:val="24"/>
          <w:szCs w:val="24"/>
          <w:lang w:eastAsia="ru-ru"/>
        </w:rPr>
        <w:t>.</w:t>
      </w:r>
      <w:r>
        <w:rPr>
          <w:sz w:val="24"/>
          <w:szCs w:val="24"/>
          <w:lang w:eastAsia="ru-ru"/>
        </w:rPr>
      </w:r>
    </w:p>
    <w:p>
      <w:pPr>
        <w:tabs defTabSz="708"/>
        <w:rPr>
          <w:sz w:val="24"/>
          <w:szCs w:val="24"/>
          <w:lang w:eastAsia="ru-ru"/>
        </w:rPr>
      </w:pPr>
      <w:r>
        <w:rPr>
          <w:sz w:val="24"/>
          <w:szCs w:val="24"/>
          <w:lang w:eastAsia="ru-ru"/>
        </w:rPr>
        <w:t>1.Құқықтын бiр саласы-халықаралық ұйым құқығы.</w:t>
      </w:r>
    </w:p>
    <w:p>
      <w:pPr>
        <w:tabs defTabSz="708"/>
        <w:rPr>
          <w:sz w:val="24"/>
          <w:szCs w:val="24"/>
          <w:lang w:eastAsia="ru-ru"/>
        </w:rPr>
      </w:pPr>
      <w:r>
        <w:rPr>
          <w:sz w:val="24"/>
          <w:szCs w:val="24"/>
          <w:lang w:eastAsia="ru-ru"/>
        </w:rPr>
        <w:t>2.Халықаралық ұйымдар ұғымы және құықтық табиғат.</w:t>
      </w:r>
    </w:p>
    <w:p>
      <w:pPr>
        <w:contextualSpacing/>
        <w:tabs defTabSz="708"/>
        <w:rPr>
          <w:sz w:val="24"/>
          <w:szCs w:val="24"/>
          <w:lang w:eastAsia="ru-ru"/>
        </w:rPr>
      </w:pPr>
      <w:r>
        <w:rPr>
          <w:sz w:val="24"/>
          <w:szCs w:val="24"/>
          <w:lang w:eastAsia="ru-ru"/>
        </w:rPr>
        <w:t>3.Халықаралық ұйымдардың даму тарихы. БҰҰ-ның алғашқы бейнесi-Ұлттар Лигасының құқықтық табиғаты.</w:t>
      </w:r>
    </w:p>
    <w:p>
      <w:pPr>
        <w:ind w:right="-49" w:firstLine="567"/>
        <w:spacing w:before="4"/>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eastAsia="ru-ru"/>
        </w:rPr>
      </w:pPr>
      <w:r>
        <w:rPr>
          <w:b/>
          <w:kern w:val="1"/>
          <w:sz w:val="24"/>
          <w:szCs w:val="24"/>
          <w:lang w:eastAsia="zh-cn"/>
        </w:rPr>
        <w:t>6 – тақырып.</w:t>
      </w:r>
      <w:r>
        <w:rPr>
          <w:kern w:val="1"/>
          <w:sz w:val="24"/>
          <w:szCs w:val="24"/>
          <w:lang w:eastAsia="zh-cn"/>
        </w:rPr>
        <w:t xml:space="preserve"> </w:t>
      </w:r>
      <w:r>
        <w:rPr>
          <w:b/>
          <w:sz w:val="24"/>
          <w:szCs w:val="24"/>
          <w:lang w:eastAsia="ru-ru"/>
        </w:rPr>
        <w:t>Халықаралық құқықтағы жауапкершілік</w:t>
      </w:r>
      <w:r>
        <w:rPr>
          <w:sz w:val="24"/>
          <w:szCs w:val="24"/>
          <w:lang w:eastAsia="ru-ru"/>
        </w:rPr>
      </w:r>
    </w:p>
    <w:p>
      <w:pPr>
        <w:tabs defTabSz="708"/>
        <w:rPr>
          <w:sz w:val="24"/>
          <w:szCs w:val="24"/>
          <w:lang w:eastAsia="ru-ru"/>
        </w:rPr>
      </w:pPr>
      <w:r>
        <w:rPr>
          <w:sz w:val="24"/>
          <w:szCs w:val="24"/>
          <w:lang w:eastAsia="ru-ru"/>
        </w:rPr>
        <w:t>1.Халықаралық -құқықтық жауапкершiлiк ұғымы.</w:t>
      </w:r>
    </w:p>
    <w:p>
      <w:pPr>
        <w:tabs defTabSz="708"/>
        <w:rPr>
          <w:sz w:val="24"/>
          <w:szCs w:val="24"/>
          <w:lang w:eastAsia="ru-ru"/>
        </w:rPr>
      </w:pPr>
      <w:r>
        <w:rPr>
          <w:sz w:val="24"/>
          <w:szCs w:val="24"/>
          <w:lang w:eastAsia="ru-ru"/>
        </w:rPr>
        <w:t xml:space="preserve">2.Мемлекеттердiң халықаралық-құқықтық жауапкершiлiгiнiң негiздерi. </w:t>
      </w:r>
    </w:p>
    <w:p>
      <w:pPr>
        <w:tabs defTabSz="708"/>
        <w:rPr>
          <w:sz w:val="24"/>
          <w:szCs w:val="24"/>
          <w:lang w:eastAsia="ru-ru"/>
        </w:rPr>
      </w:pPr>
      <w:r>
        <w:rPr>
          <w:sz w:val="24"/>
          <w:szCs w:val="24"/>
          <w:lang w:eastAsia="ru-ru"/>
        </w:rPr>
        <w:t>3.Мемлекеттердiң халықаралық құқық бұзушылығын жүйелеу.</w:t>
      </w:r>
    </w:p>
    <w:p>
      <w:pPr>
        <w:tabs defTabSz="708"/>
        <w:rPr>
          <w:sz w:val="24"/>
          <w:szCs w:val="24"/>
          <w:lang w:eastAsia="ru-ru"/>
        </w:rPr>
      </w:pPr>
      <w:r>
        <w:rPr>
          <w:sz w:val="24"/>
          <w:szCs w:val="24"/>
          <w:lang w:eastAsia="ru-ru"/>
        </w:rPr>
        <w:t>4.Мемлекеттердiң халықаралық-құқықтық жауапкершiлiгiнiң түрлерi мен нысандары.</w:t>
      </w:r>
    </w:p>
    <w:p>
      <w:pPr>
        <w:tabs defTabSz="708"/>
        <w:rPr>
          <w:sz w:val="24"/>
          <w:szCs w:val="24"/>
          <w:lang w:eastAsia="ru-ru"/>
        </w:rPr>
      </w:pPr>
      <w:r>
        <w:rPr>
          <w:sz w:val="24"/>
          <w:szCs w:val="24"/>
          <w:lang w:eastAsia="ru-ru"/>
        </w:rPr>
        <w:t>5.Мемлекеттердiң жауапкершiлiгiн болғызбайтын жағдаяттар.</w:t>
      </w:r>
    </w:p>
    <w:p>
      <w:pPr>
        <w:tabs defTabSz="708"/>
        <w:rPr>
          <w:sz w:val="24"/>
          <w:szCs w:val="24"/>
          <w:lang w:eastAsia="ru-ru"/>
        </w:rPr>
      </w:pPr>
      <w:r>
        <w:rPr>
          <w:sz w:val="24"/>
          <w:szCs w:val="24"/>
          <w:lang w:eastAsia="ru-ru"/>
        </w:rPr>
        <w:t xml:space="preserve">6.Халықаралық ұйымдардың жауапкершiлiгi </w:t>
      </w:r>
    </w:p>
    <w:p>
      <w:pPr>
        <w:contextualSpacing/>
        <w:tabs defTabSz="708"/>
        <w:rPr>
          <w:sz w:val="24"/>
          <w:szCs w:val="24"/>
          <w:lang w:eastAsia="ru-ru"/>
        </w:rPr>
      </w:pPr>
      <w:r>
        <w:rPr>
          <w:sz w:val="24"/>
          <w:szCs w:val="24"/>
          <w:lang w:eastAsia="ru-ru"/>
        </w:rPr>
        <w:t>7.Жеке тұлғалардың халықаралық қылмыстық жауапкершiлiгi.</w:t>
      </w:r>
    </w:p>
    <w:p>
      <w:pPr>
        <w:ind w:right="-49" w:firstLine="567"/>
        <w:spacing w:before="4"/>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eastAsia="ru-ru"/>
        </w:rPr>
      </w:pPr>
      <w:r>
        <w:rPr>
          <w:b/>
          <w:kern w:val="1"/>
          <w:sz w:val="24"/>
          <w:szCs w:val="24"/>
          <w:lang w:eastAsia="zh-cn"/>
        </w:rPr>
        <w:t>7 – тақырып.</w:t>
      </w:r>
      <w:r>
        <w:rPr>
          <w:kern w:val="1"/>
          <w:sz w:val="24"/>
          <w:szCs w:val="24"/>
          <w:lang w:eastAsia="zh-cn"/>
        </w:rPr>
        <w:t xml:space="preserve"> </w:t>
      </w:r>
      <w:r>
        <w:rPr>
          <w:b/>
          <w:sz w:val="24"/>
          <w:szCs w:val="24"/>
          <w:lang w:eastAsia="ru-ru"/>
        </w:rPr>
        <w:t>Дипломатикалық құқық</w:t>
      </w:r>
      <w:r>
        <w:rPr>
          <w:sz w:val="24"/>
          <w:szCs w:val="24"/>
          <w:lang w:eastAsia="ru-ru"/>
        </w:rPr>
      </w:r>
    </w:p>
    <w:p>
      <w:pPr>
        <w:tabs defTabSz="708"/>
        <w:rPr>
          <w:sz w:val="24"/>
          <w:szCs w:val="24"/>
          <w:lang w:eastAsia="ru-ru"/>
        </w:rPr>
      </w:pPr>
      <w:r>
        <w:rPr>
          <w:sz w:val="24"/>
          <w:szCs w:val="24"/>
          <w:lang w:eastAsia="ru-ru"/>
        </w:rPr>
        <w:t>1.Өркениеттi әлемдегi дипломаттия ұғымы. Дипломатиялық құқық ұғымы және қайнар көздерi.</w:t>
      </w:r>
    </w:p>
    <w:p>
      <w:pPr>
        <w:tabs defTabSz="708"/>
        <w:rPr>
          <w:sz w:val="24"/>
          <w:szCs w:val="24"/>
          <w:lang w:eastAsia="ru-ru"/>
        </w:rPr>
      </w:pPr>
      <w:r>
        <w:rPr>
          <w:sz w:val="24"/>
          <w:szCs w:val="24"/>
          <w:lang w:eastAsia="ru-ru"/>
        </w:rPr>
        <w:t>2.Сыртқы қатынас органдары.</w:t>
      </w:r>
    </w:p>
    <w:p>
      <w:pPr>
        <w:contextualSpacing/>
        <w:tabs defTabSz="708"/>
        <w:rPr>
          <w:sz w:val="24"/>
          <w:szCs w:val="24"/>
          <w:lang w:eastAsia="ru-ru"/>
        </w:rPr>
      </w:pPr>
      <w:r>
        <w:rPr>
          <w:sz w:val="24"/>
          <w:szCs w:val="24"/>
          <w:lang w:eastAsia="ru-ru"/>
        </w:rPr>
        <w:t>3.Дипломатиялық өкiлдiктердiң мiндеттерi артықшылықтары және имунитеттерi.</w:t>
      </w:r>
    </w:p>
    <w:p>
      <w:pPr>
        <w:ind w:right="-49" w:firstLine="567"/>
        <w:spacing w:before="4"/>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4"/>
          <w:szCs w:val="24"/>
          <w:lang w:eastAsia="ru-ru"/>
        </w:rPr>
      </w:pPr>
      <w:r>
        <w:rPr>
          <w:b/>
          <w:kern w:val="1"/>
          <w:sz w:val="24"/>
          <w:szCs w:val="24"/>
          <w:lang w:eastAsia="zh-cn"/>
        </w:rPr>
        <w:t>8 – тақырып.</w:t>
      </w:r>
      <w:r>
        <w:rPr>
          <w:kern w:val="1"/>
          <w:sz w:val="24"/>
          <w:szCs w:val="24"/>
          <w:lang w:eastAsia="zh-cn"/>
        </w:rPr>
        <w:t xml:space="preserve"> </w:t>
      </w:r>
      <w:r>
        <w:rPr>
          <w:b/>
          <w:bCs/>
          <w:sz w:val="24"/>
          <w:szCs w:val="24"/>
          <w:lang w:eastAsia="ru-ru"/>
        </w:rPr>
        <w:t>Халықаралық қылмыстық құқық</w:t>
      </w:r>
      <w:r>
        <w:rPr>
          <w:b/>
          <w:sz w:val="24"/>
          <w:szCs w:val="24"/>
          <w:lang w:eastAsia="ru-ru"/>
        </w:rPr>
      </w:r>
    </w:p>
    <w:p>
      <w:pPr>
        <w:tabs defTabSz="708"/>
        <w:rPr>
          <w:sz w:val="24"/>
          <w:szCs w:val="24"/>
          <w:lang w:eastAsia="ru-ru"/>
        </w:rPr>
      </w:pPr>
      <w:r>
        <w:rPr>
          <w:sz w:val="24"/>
          <w:szCs w:val="24"/>
          <w:lang w:eastAsia="ru-ru"/>
        </w:rPr>
        <w:t>1.Халықаралық қылмыстық құқық ұғымы.</w:t>
      </w:r>
    </w:p>
    <w:p>
      <w:pPr>
        <w:tabs defTabSz="708"/>
        <w:rPr>
          <w:sz w:val="24"/>
          <w:szCs w:val="24"/>
          <w:lang w:eastAsia="ru-ru"/>
        </w:rPr>
      </w:pPr>
      <w:r>
        <w:rPr>
          <w:sz w:val="24"/>
          <w:szCs w:val="24"/>
          <w:lang w:eastAsia="ru-ru"/>
        </w:rPr>
        <w:t>2.Бiрiккен Ұлттар Ұйымының халықаралық қылмыстық құқықты дамытудағы рөлi.</w:t>
      </w:r>
    </w:p>
    <w:p>
      <w:pPr>
        <w:tabs defTabSz="708"/>
        <w:rPr>
          <w:sz w:val="24"/>
          <w:szCs w:val="24"/>
          <w:lang w:eastAsia="ru-ru"/>
        </w:rPr>
      </w:pPr>
      <w:r>
        <w:rPr>
          <w:sz w:val="24"/>
          <w:szCs w:val="24"/>
          <w:lang w:eastAsia="ru-ru"/>
        </w:rPr>
        <w:t>3.Халықаралық сипаттағы қылмыстық iстер және олармен күресудегi мемлекеттердiң мiндеттемелерi.</w:t>
      </w:r>
    </w:p>
    <w:p>
      <w:pPr>
        <w:tabs defTabSz="708"/>
        <w:rPr>
          <w:sz w:val="24"/>
          <w:szCs w:val="24"/>
          <w:lang w:eastAsia="ru-ru"/>
        </w:rPr>
      </w:pPr>
      <w:r>
        <w:rPr>
          <w:sz w:val="24"/>
          <w:szCs w:val="24"/>
          <w:lang w:eastAsia="ru-ru"/>
        </w:rPr>
        <w:t>4.Қылмыстық iстермен күрестегi халықаралық ынтымақтастық.</w:t>
      </w:r>
    </w:p>
    <w:p>
      <w:pPr>
        <w:tabs defTabSz="708"/>
        <w:rPr>
          <w:sz w:val="24"/>
          <w:szCs w:val="24"/>
          <w:lang w:eastAsia="ru-ru"/>
        </w:rPr>
      </w:pPr>
      <w:r>
        <w:rPr>
          <w:sz w:val="24"/>
          <w:szCs w:val="24"/>
          <w:lang w:eastAsia="ru-ru"/>
        </w:rPr>
        <w:t>5.Қылмыскерлердi ұстап берудiң мәселелерi.</w:t>
      </w:r>
    </w:p>
    <w:p>
      <w:pPr>
        <w:ind w:right="-49" w:firstLine="567"/>
        <w:spacing w:before="4"/>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4"/>
          <w:szCs w:val="24"/>
          <w:lang w:eastAsia="ru-ru"/>
        </w:rPr>
      </w:pPr>
      <w:r>
        <w:rPr>
          <w:b/>
          <w:kern w:val="1"/>
          <w:sz w:val="24"/>
          <w:szCs w:val="24"/>
          <w:lang w:eastAsia="zh-cn"/>
        </w:rPr>
        <w:t>9 – тақырып.</w:t>
      </w:r>
      <w:r>
        <w:rPr>
          <w:kern w:val="1"/>
          <w:sz w:val="24"/>
          <w:szCs w:val="24"/>
          <w:lang w:eastAsia="zh-cn"/>
        </w:rPr>
        <w:t xml:space="preserve"> </w:t>
      </w:r>
      <w:r>
        <w:rPr>
          <w:b/>
          <w:sz w:val="24"/>
          <w:szCs w:val="24"/>
          <w:lang w:eastAsia="ru-ru"/>
        </w:rPr>
        <w:t>Халықаралық қауіпсіздік құқығы</w:t>
      </w:r>
      <w:r>
        <w:rPr>
          <w:b/>
          <w:sz w:val="24"/>
          <w:szCs w:val="24"/>
          <w:lang w:eastAsia="ru-ru"/>
        </w:rPr>
      </w:r>
    </w:p>
    <w:p>
      <w:pPr>
        <w:pStyle w:val="para8"/>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8F9FA" tmshd="1677721856, 0, 16447992"/>
        <w:rPr>
          <w:rFonts w:ascii="Times New Roman" w:hAnsi="Times New Roman" w:cs="Times New Roman"/>
          <w:sz w:val="24"/>
          <w:szCs w:val="24"/>
          <w:lang w:val="kk-kz"/>
        </w:rPr>
      </w:pPr>
      <w:r>
        <w:rPr>
          <w:rFonts w:ascii="Times New Roman" w:hAnsi="Times New Roman" w:cs="Times New Roman"/>
          <w:sz w:val="24"/>
          <w:szCs w:val="24"/>
          <w:lang w:val="kk-kz"/>
        </w:rPr>
        <w:t>1.1 Халықаралық қауіпсіздік құқығының түсінігі, қағидалары және міндеттері</w:t>
      </w:r>
    </w:p>
    <w:p>
      <w:pPr>
        <w:pStyle w:val="para8"/>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8F9FA" tmshd="1677721856, 0, 16447992"/>
        <w:rPr>
          <w:rFonts w:ascii="Times New Roman" w:hAnsi="Times New Roman" w:cs="Times New Roman"/>
          <w:sz w:val="24"/>
          <w:szCs w:val="24"/>
          <w:lang w:val="kk-kz"/>
        </w:rPr>
      </w:pPr>
      <w:r>
        <w:rPr>
          <w:rFonts w:ascii="Times New Roman" w:hAnsi="Times New Roman" w:cs="Times New Roman"/>
          <w:sz w:val="24"/>
          <w:szCs w:val="24"/>
          <w:lang w:val="kk-kz"/>
        </w:rPr>
        <w:t>1.2 Ұжымдық қауіпсіздік түсінігі және оның түрлері</w:t>
      </w:r>
    </w:p>
    <w:p>
      <w:pPr>
        <w:pStyle w:val="para8"/>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8F9FA" tmshd="1677721856, 0, 16447992"/>
        <w:rPr>
          <w:rFonts w:ascii="Times New Roman" w:hAnsi="Times New Roman" w:cs="Times New Roman"/>
          <w:sz w:val="24"/>
          <w:szCs w:val="24"/>
          <w:lang w:val="kk-kz"/>
        </w:rPr>
      </w:pPr>
      <w:r>
        <w:rPr>
          <w:rFonts w:ascii="Times New Roman" w:hAnsi="Times New Roman" w:cs="Times New Roman"/>
          <w:sz w:val="24"/>
          <w:szCs w:val="24"/>
          <w:lang w:val="kk-kz"/>
        </w:rPr>
        <w:t>1.3 Қарусыздану және қаруды ішінара қысқарту.</w:t>
      </w:r>
    </w:p>
    <w:p>
      <w:pPr>
        <w:pStyle w:val="para8"/>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8F9FA" tmshd="1677721856, 0, 16447992"/>
        <w:rPr>
          <w:rFonts w:ascii="Times New Roman" w:hAnsi="Times New Roman" w:cs="Times New Roman"/>
          <w:sz w:val="24"/>
          <w:szCs w:val="24"/>
          <w:lang w:val="kk-kz"/>
        </w:rPr>
      </w:pPr>
      <w:r>
        <w:rPr>
          <w:rFonts w:ascii="Times New Roman" w:hAnsi="Times New Roman" w:cs="Times New Roman"/>
          <w:sz w:val="24"/>
          <w:szCs w:val="24"/>
          <w:lang w:val="kk-kz"/>
        </w:rPr>
        <w:t>1.4 Қарулану жарысын тоқтату шаралары. 1968 ж. Ядролық қаруды таратпау туралы келісім</w:t>
      </w:r>
    </w:p>
    <w:p>
      <w:pPr>
        <w:pStyle w:val="para8"/>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8F9FA" tmshd="1677721856, 0, 16447992"/>
        <w:rPr>
          <w:rFonts w:ascii="Times New Roman" w:hAnsi="Times New Roman" w:cs="Times New Roman"/>
          <w:sz w:val="24"/>
          <w:szCs w:val="24"/>
          <w:lang w:val="kk-kz"/>
        </w:rPr>
      </w:pPr>
      <w:r>
        <w:rPr>
          <w:rFonts w:ascii="Times New Roman" w:hAnsi="Times New Roman" w:cs="Times New Roman"/>
          <w:sz w:val="24"/>
          <w:szCs w:val="24"/>
          <w:lang w:val="kk-kz"/>
        </w:rPr>
        <w:t>1.5 Одақтас емес қозғалыс және халықаралық қауіпсіздік</w:t>
      </w:r>
    </w:p>
    <w:p>
      <w:pPr>
        <w:ind w:right="-49" w:firstLine="567"/>
        <w:spacing w:before="4"/>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eastAsia="ru-ru"/>
        </w:rPr>
      </w:pPr>
      <w:r>
        <w:rPr>
          <w:b/>
          <w:kern w:val="1"/>
          <w:sz w:val="24"/>
          <w:szCs w:val="24"/>
          <w:shd w:val="clear" w:fill="f4f4f4"/>
          <w:lang w:eastAsia="zh-cn"/>
        </w:rPr>
        <w:t>10 – тақырып.</w:t>
      </w:r>
      <w:r>
        <w:rPr>
          <w:kern w:val="1"/>
          <w:sz w:val="24"/>
          <w:szCs w:val="24"/>
          <w:shd w:val="clear" w:fill="f4f4f4"/>
          <w:lang w:eastAsia="zh-cn"/>
        </w:rPr>
        <w:t xml:space="preserve"> </w:t>
      </w:r>
      <w:r>
        <w:rPr>
          <w:b/>
          <w:sz w:val="24"/>
          <w:szCs w:val="24"/>
          <w:lang w:eastAsia="ru-ru"/>
        </w:rPr>
        <w:t>Халықаралық құқықтағы аумақ және басқа да кеңістік мәселелері</w:t>
      </w:r>
      <w:r>
        <w:rPr>
          <w:sz w:val="24"/>
          <w:szCs w:val="24"/>
          <w:lang w:eastAsia="ru-ru"/>
        </w:rPr>
      </w:r>
    </w:p>
    <w:p>
      <w:pPr>
        <w:tabs defTabSz="708"/>
        <w:rPr>
          <w:sz w:val="24"/>
          <w:szCs w:val="24"/>
          <w:lang w:eastAsia="ru-ru"/>
        </w:rPr>
      </w:pPr>
      <w:r>
        <w:rPr>
          <w:sz w:val="24"/>
          <w:szCs w:val="24"/>
          <w:lang w:eastAsia="ru-ru"/>
        </w:rPr>
        <w:t>1.Халықаралық құқықтағы аумақ ұғымы және оның түрлерi.</w:t>
      </w:r>
    </w:p>
    <w:p>
      <w:pPr>
        <w:tabs defTabSz="708"/>
        <w:rPr>
          <w:sz w:val="24"/>
          <w:szCs w:val="24"/>
          <w:lang w:eastAsia="ru-ru"/>
        </w:rPr>
      </w:pPr>
      <w:r>
        <w:rPr>
          <w:sz w:val="24"/>
          <w:szCs w:val="24"/>
          <w:lang w:eastAsia="ru-ru"/>
        </w:rPr>
        <w:t>2.Мемлекеттiк шекаралар.</w:t>
      </w:r>
    </w:p>
    <w:p>
      <w:pPr>
        <w:tabs defTabSz="708"/>
        <w:rPr>
          <w:sz w:val="24"/>
          <w:szCs w:val="24"/>
          <w:lang w:eastAsia="ru-ru"/>
        </w:rPr>
      </w:pPr>
      <w:r>
        <w:rPr>
          <w:sz w:val="24"/>
          <w:szCs w:val="24"/>
          <w:lang w:eastAsia="ru-ru"/>
        </w:rPr>
        <w:t>3.Халықаралық өзендер мен бұғаздар.</w:t>
      </w:r>
    </w:p>
    <w:p>
      <w:pPr>
        <w:tabs defTabSz="708"/>
        <w:rPr>
          <w:sz w:val="24"/>
          <w:szCs w:val="24"/>
          <w:lang w:val="ru-ru" w:eastAsia="ru-ru"/>
        </w:rPr>
      </w:pPr>
      <w:r>
        <w:rPr>
          <w:sz w:val="24"/>
          <w:szCs w:val="24"/>
          <w:lang w:val="ru-ru" w:eastAsia="ru-ru"/>
        </w:rPr>
        <w:t>4.Антарктика мен Арктиканың халықаралық құқықтық режимi.</w:t>
      </w:r>
    </w:p>
    <w:p>
      <w:pPr>
        <w:contextualSpacing/>
        <w:tabs defTabSz="708"/>
        <w:rPr>
          <w:sz w:val="24"/>
          <w:szCs w:val="24"/>
          <w:lang w:val="ru-ru" w:eastAsia="ru-ru"/>
        </w:rPr>
      </w:pPr>
      <w:r>
        <w:rPr>
          <w:sz w:val="24"/>
          <w:szCs w:val="24"/>
          <w:lang w:val="ru-ru" w:eastAsia="ru-ru"/>
        </w:rPr>
        <w:t>5.Аумақтық дауларды шешу әдiстерi.</w:t>
      </w:r>
    </w:p>
    <w:p>
      <w:pPr>
        <w:ind w:right="-49" w:firstLine="567"/>
        <w:spacing w:before="4"/>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eastAsia="ru-ru"/>
        </w:rPr>
      </w:pPr>
      <w:r>
        <w:rPr>
          <w:b/>
          <w:kern w:val="1"/>
          <w:sz w:val="24"/>
          <w:szCs w:val="24"/>
          <w:lang w:eastAsia="zh-cn"/>
        </w:rPr>
        <w:t>11 – тақырып.</w:t>
      </w:r>
      <w:r>
        <w:rPr>
          <w:kern w:val="1"/>
          <w:sz w:val="24"/>
          <w:szCs w:val="24"/>
          <w:lang w:eastAsia="zh-cn"/>
        </w:rPr>
        <w:t xml:space="preserve"> </w:t>
      </w:r>
      <w:r>
        <w:rPr>
          <w:b/>
          <w:sz w:val="24"/>
          <w:szCs w:val="24"/>
          <w:lang w:eastAsia="ru-ru"/>
        </w:rPr>
        <w:t>Халықаралық гуманитарлық құқық</w:t>
      </w:r>
      <w:r>
        <w:rPr>
          <w:sz w:val="24"/>
          <w:szCs w:val="24"/>
          <w:lang w:eastAsia="ru-ru"/>
        </w:rPr>
      </w:r>
    </w:p>
    <w:p>
      <w:pPr>
        <w:pStyle w:val="para8"/>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8F9FA" tmshd="1677721856, 0, 16447992"/>
        <w:rPr>
          <w:rFonts w:ascii="Times New Roman" w:hAnsi="Times New Roman" w:cs="Times New Roman"/>
          <w:sz w:val="24"/>
          <w:szCs w:val="24"/>
          <w:lang w:val="kk-kz"/>
        </w:rPr>
      </w:pPr>
      <w:r>
        <w:rPr>
          <w:rFonts w:ascii="Times New Roman" w:hAnsi="Times New Roman" w:cs="Times New Roman"/>
          <w:sz w:val="24"/>
          <w:szCs w:val="24"/>
          <w:lang w:val="kk-kz"/>
        </w:rPr>
        <w:t>1.1 Халықаралық гуманитарлық құқықтың түсінігі мен мазмұны</w:t>
      </w:r>
    </w:p>
    <w:p>
      <w:pPr>
        <w:pStyle w:val="para8"/>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8F9FA" tmshd="1677721856, 0, 16447992"/>
        <w:rPr>
          <w:rFonts w:ascii="Times New Roman" w:hAnsi="Times New Roman" w:cs="Times New Roman"/>
          <w:sz w:val="24"/>
          <w:szCs w:val="24"/>
          <w:lang w:val="kk-kz"/>
        </w:rPr>
      </w:pPr>
      <w:r>
        <w:rPr>
          <w:rFonts w:ascii="Times New Roman" w:hAnsi="Times New Roman" w:cs="Times New Roman"/>
          <w:sz w:val="24"/>
          <w:szCs w:val="24"/>
          <w:lang w:val="kk-kz"/>
        </w:rPr>
        <w:t>1.2 Халықаралық гуманитарлық құқықтың қайнар көздері</w:t>
      </w:r>
    </w:p>
    <w:p>
      <w:pPr>
        <w:pStyle w:val="para8"/>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8F9FA" tmshd="1677721856, 0, 16447992"/>
        <w:rPr>
          <w:rFonts w:ascii="Times New Roman" w:hAnsi="Times New Roman" w:cs="Times New Roman"/>
          <w:sz w:val="24"/>
          <w:szCs w:val="24"/>
          <w:lang w:val="kk-kz"/>
        </w:rPr>
      </w:pPr>
      <w:r>
        <w:rPr>
          <w:rFonts w:ascii="Times New Roman" w:hAnsi="Times New Roman" w:cs="Times New Roman"/>
          <w:sz w:val="24"/>
          <w:szCs w:val="24"/>
          <w:lang w:val="kk-kz"/>
        </w:rPr>
        <w:t>1.3 Халықаралық гуманитарлық құқық принциптерінің жүйесі</w:t>
      </w:r>
    </w:p>
    <w:p>
      <w:pPr>
        <w:contextualSpacing/>
        <w:tabs defTabSz="708"/>
        <w:rPr>
          <w:sz w:val="24"/>
          <w:szCs w:val="24"/>
          <w:lang w:eastAsia="ru-ru"/>
        </w:rPr>
      </w:pPr>
      <w:r>
        <w:rPr>
          <w:sz w:val="24"/>
          <w:szCs w:val="24"/>
          <w:lang w:eastAsia="ru-ru"/>
        </w:rPr>
        <w:t>1.4 Халықаралық гуманитарлық құқықтағы халықаралық ұйымдар</w:t>
      </w:r>
    </w:p>
    <w:p>
      <w:pPr>
        <w:ind w:right="-49" w:firstLine="567"/>
        <w:spacing w:before="4"/>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eastAsia="ru-ru"/>
        </w:rPr>
      </w:pPr>
      <w:r>
        <w:rPr>
          <w:b/>
          <w:kern w:val="1"/>
          <w:sz w:val="24"/>
          <w:szCs w:val="24"/>
          <w:shd w:val="clear" w:fill="ffffff"/>
          <w:lang w:eastAsia="zh-cn"/>
        </w:rPr>
        <w:t>12 – тақырып.</w:t>
      </w:r>
      <w:r>
        <w:rPr>
          <w:kern w:val="1"/>
          <w:sz w:val="24"/>
          <w:szCs w:val="24"/>
          <w:shd w:val="clear" w:fill="ffffff"/>
          <w:lang w:eastAsia="zh-cn"/>
        </w:rPr>
        <w:t xml:space="preserve"> </w:t>
      </w:r>
      <w:r>
        <w:rPr>
          <w:b/>
          <w:sz w:val="24"/>
          <w:szCs w:val="24"/>
          <w:lang w:eastAsia="ru-ru"/>
        </w:rPr>
        <w:t>Халықаралық ғарыш құқығы</w:t>
      </w:r>
      <w:r>
        <w:rPr>
          <w:sz w:val="24"/>
          <w:szCs w:val="24"/>
          <w:lang w:eastAsia="ru-ru"/>
        </w:rPr>
      </w:r>
    </w:p>
    <w:p>
      <w:pPr>
        <w:tabs defTabSz="708"/>
        <w:rPr>
          <w:sz w:val="24"/>
          <w:szCs w:val="24"/>
          <w:lang w:eastAsia="ru-ru"/>
        </w:rPr>
      </w:pPr>
      <w:r>
        <w:rPr>
          <w:sz w:val="24"/>
          <w:szCs w:val="24"/>
          <w:lang w:eastAsia="ru-ru"/>
        </w:rPr>
        <w:t>1.Халықаралық ғарыш құқығы ұғымы және оның қайнар көздерiнiң жүйесi.</w:t>
      </w:r>
    </w:p>
    <w:p>
      <w:pPr>
        <w:tabs defTabSz="708"/>
        <w:rPr>
          <w:sz w:val="24"/>
          <w:szCs w:val="24"/>
          <w:lang w:eastAsia="ru-ru"/>
        </w:rPr>
      </w:pPr>
      <w:r>
        <w:rPr>
          <w:sz w:val="24"/>
          <w:szCs w:val="24"/>
          <w:lang w:eastAsia="ru-ru"/>
        </w:rPr>
        <w:t>2.Ғарыш кеңiстiгi мен аспан денелерiнiң құқықтық режимi.</w:t>
      </w:r>
    </w:p>
    <w:p>
      <w:pPr>
        <w:tabs defTabSz="708"/>
        <w:rPr>
          <w:sz w:val="24"/>
          <w:szCs w:val="24"/>
          <w:lang w:eastAsia="ru-ru"/>
        </w:rPr>
      </w:pPr>
      <w:r>
        <w:rPr>
          <w:sz w:val="24"/>
          <w:szCs w:val="24"/>
          <w:lang w:eastAsia="ru-ru"/>
        </w:rPr>
        <w:t>3.Ғарышкерлердiң құқықтық режимi.</w:t>
      </w:r>
    </w:p>
    <w:p>
      <w:pPr>
        <w:tabs defTabSz="708"/>
        <w:rPr>
          <w:sz w:val="24"/>
          <w:szCs w:val="24"/>
          <w:lang w:eastAsia="ru-ru"/>
        </w:rPr>
      </w:pPr>
      <w:r>
        <w:rPr>
          <w:sz w:val="24"/>
          <w:szCs w:val="24"/>
          <w:lang w:eastAsia="ru-ru"/>
        </w:rPr>
        <w:t>4.Ғарыш обьектiлерiнiң құқықтық режимi.</w:t>
      </w:r>
    </w:p>
    <w:p>
      <w:pPr>
        <w:tabs defTabSz="708"/>
        <w:rPr>
          <w:sz w:val="24"/>
          <w:szCs w:val="24"/>
          <w:lang w:eastAsia="ru-ru"/>
        </w:rPr>
      </w:pPr>
      <w:r>
        <w:rPr>
          <w:sz w:val="24"/>
          <w:szCs w:val="24"/>
          <w:lang w:eastAsia="ru-ru"/>
        </w:rPr>
        <w:t>5.Экипаж бен ғарыш обьектiсiнiң юрисдикция және бақылау мәселелерi.</w:t>
      </w:r>
    </w:p>
    <w:p>
      <w:pPr>
        <w:tabs defTabSz="708"/>
        <w:rPr>
          <w:sz w:val="24"/>
          <w:szCs w:val="24"/>
          <w:lang w:eastAsia="ru-ru"/>
        </w:rPr>
      </w:pPr>
      <w:r>
        <w:rPr>
          <w:sz w:val="24"/>
          <w:szCs w:val="24"/>
          <w:lang w:eastAsia="ru-ru"/>
        </w:rPr>
        <w:t>6.Халықаралық ғарыш құқығындағы жауапкершiлiк және сақтандыру институты.</w:t>
      </w:r>
    </w:p>
    <w:p>
      <w:pPr>
        <w:contextualSpacing/>
        <w:tabs defTabSz="708"/>
        <w:rPr>
          <w:sz w:val="24"/>
          <w:szCs w:val="24"/>
          <w:lang w:eastAsia="ru-ru"/>
        </w:rPr>
      </w:pPr>
      <w:r>
        <w:rPr>
          <w:sz w:val="24"/>
          <w:szCs w:val="24"/>
          <w:lang w:eastAsia="ru-ru"/>
        </w:rPr>
        <w:t>7.Байқоңыр ғарыш айлағын пайдаланудың құқықтық проблемалары.</w:t>
      </w:r>
    </w:p>
    <w:p>
      <w:pPr>
        <w:ind w:right="-49" w:firstLine="567"/>
        <w:spacing w:before="4"/>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eastAsia="ru-ru"/>
        </w:rPr>
      </w:pPr>
      <w:r>
        <w:rPr>
          <w:b/>
          <w:kern w:val="1"/>
          <w:sz w:val="24"/>
          <w:szCs w:val="24"/>
          <w:shd w:val="clear" w:fill="ffffff"/>
          <w:lang w:eastAsia="zh-cn"/>
        </w:rPr>
        <w:t>13- тақырып.</w:t>
      </w:r>
      <w:r>
        <w:rPr>
          <w:kern w:val="1"/>
          <w:sz w:val="24"/>
          <w:szCs w:val="24"/>
          <w:shd w:val="clear" w:fill="ffffff"/>
          <w:lang w:eastAsia="zh-cn"/>
        </w:rPr>
        <w:t xml:space="preserve"> </w:t>
      </w:r>
      <w:r>
        <w:rPr>
          <w:kern w:val="1"/>
          <w:sz w:val="24"/>
          <w:szCs w:val="24"/>
          <w:lang w:eastAsia="zh-cn"/>
        </w:rPr>
        <w:t xml:space="preserve"> </w:t>
      </w:r>
      <w:r>
        <w:rPr>
          <w:b/>
          <w:sz w:val="24"/>
          <w:szCs w:val="24"/>
          <w:lang w:eastAsia="ru-ru"/>
        </w:rPr>
        <w:t>Халықаралық теңіз құқығы</w:t>
      </w:r>
      <w:r>
        <w:rPr>
          <w:sz w:val="24"/>
          <w:szCs w:val="24"/>
          <w:lang w:eastAsia="ru-ru"/>
        </w:rPr>
      </w:r>
    </w:p>
    <w:p>
      <w:pPr>
        <w:pStyle w:val="para8"/>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8F9FA" tmshd="1677721856, 0, 16447992"/>
        <w:rPr>
          <w:rFonts w:ascii="Times New Roman" w:hAnsi="Times New Roman" w:cs="Times New Roman"/>
          <w:sz w:val="24"/>
          <w:szCs w:val="24"/>
          <w:lang w:val="kk-kz"/>
        </w:rPr>
      </w:pPr>
      <w:r>
        <w:rPr>
          <w:rFonts w:ascii="Times New Roman" w:hAnsi="Times New Roman" w:cs="Times New Roman"/>
          <w:sz w:val="24"/>
          <w:szCs w:val="24"/>
          <w:lang w:val="kk-kz"/>
        </w:rPr>
        <w:t>1.1 Халықаралық теңіз құқығы түсінігі.</w:t>
      </w:r>
    </w:p>
    <w:p>
      <w:pPr>
        <w:pStyle w:val="para8"/>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8F9FA" tmshd="1677721856, 0, 16447992"/>
        <w:rPr>
          <w:rFonts w:ascii="Times New Roman" w:hAnsi="Times New Roman" w:cs="Times New Roman"/>
          <w:sz w:val="24"/>
          <w:szCs w:val="24"/>
          <w:lang w:val="kk-kz"/>
        </w:rPr>
      </w:pPr>
      <w:r>
        <w:rPr>
          <w:rFonts w:ascii="Times New Roman" w:hAnsi="Times New Roman" w:cs="Times New Roman"/>
          <w:sz w:val="24"/>
          <w:szCs w:val="24"/>
          <w:lang w:val="kk-kz"/>
        </w:rPr>
        <w:t>1.2 Халықаралық теңіз құқығының қайнар көздері</w:t>
      </w:r>
    </w:p>
    <w:p>
      <w:pPr>
        <w:pStyle w:val="para8"/>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8F9FA" tmshd="1677721856, 0, 16447992"/>
        <w:rPr>
          <w:rFonts w:ascii="Times New Roman" w:hAnsi="Times New Roman" w:cs="Times New Roman"/>
          <w:sz w:val="24"/>
          <w:szCs w:val="24"/>
          <w:lang w:val="kk-kz"/>
        </w:rPr>
      </w:pPr>
      <w:r>
        <w:rPr>
          <w:rFonts w:ascii="Times New Roman" w:hAnsi="Times New Roman" w:cs="Times New Roman"/>
          <w:sz w:val="24"/>
          <w:szCs w:val="24"/>
          <w:lang w:val="kk-kz"/>
        </w:rPr>
        <w:t>1.3 Халықаралық теңіз құқығының қағидалары</w:t>
      </w:r>
    </w:p>
    <w:p>
      <w:pPr>
        <w:tabs defTabSz="708"/>
        <w:rPr>
          <w:sz w:val="24"/>
          <w:szCs w:val="24"/>
          <w:lang w:eastAsia="ru-ru"/>
        </w:rPr>
      </w:pPr>
      <w:r>
        <w:rPr>
          <w:sz w:val="24"/>
          <w:szCs w:val="24"/>
          <w:lang w:eastAsia="ru-ru"/>
        </w:rPr>
        <w:t>1.4 Халықаралық теңіз құқығының халықаралық ұйымдары</w:t>
      </w:r>
    </w:p>
    <w:p>
      <w:pPr>
        <w:ind w:right="-49" w:firstLine="567"/>
        <w:spacing w:before="4"/>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4"/>
          <w:szCs w:val="24"/>
          <w:lang w:eastAsia="ru-ru"/>
        </w:rPr>
      </w:pPr>
      <w:r>
        <w:rPr>
          <w:b/>
          <w:kern w:val="1"/>
          <w:sz w:val="24"/>
          <w:szCs w:val="24"/>
          <w:shd w:val="clear" w:fill="ffffff"/>
          <w:lang w:eastAsia="zh-cn"/>
        </w:rPr>
        <w:t>14 - тақырып.</w:t>
      </w:r>
      <w:r>
        <w:rPr>
          <w:kern w:val="1"/>
          <w:sz w:val="24"/>
          <w:szCs w:val="24"/>
          <w:shd w:val="clear" w:fill="ffffff"/>
          <w:lang w:eastAsia="zh-cn"/>
        </w:rPr>
        <w:t xml:space="preserve"> </w:t>
      </w:r>
      <w:r>
        <w:rPr>
          <w:b/>
          <w:sz w:val="24"/>
          <w:szCs w:val="24"/>
          <w:lang w:eastAsia="ru-ru"/>
        </w:rPr>
        <w:t>Халықаралық экологиялық құқы</w:t>
      </w:r>
      <w:r>
        <w:rPr>
          <w:b/>
          <w:sz w:val="24"/>
          <w:szCs w:val="24"/>
          <w:lang w:eastAsia="ru-ru"/>
        </w:rPr>
        <w:t>қ және ТДМ</w:t>
      </w:r>
      <w:r>
        <w:rPr>
          <w:b/>
          <w:sz w:val="24"/>
          <w:szCs w:val="24"/>
          <w:lang w:eastAsia="ru-ru"/>
        </w:rPr>
      </w:r>
    </w:p>
    <w:p>
      <w:pPr>
        <w:pStyle w:val="para8"/>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8F9FA" tmshd="1677721856, 0, 16447992"/>
        <w:rPr>
          <w:rFonts w:ascii="Times New Roman" w:hAnsi="Times New Roman" w:cs="Times New Roman"/>
          <w:sz w:val="24"/>
          <w:szCs w:val="24"/>
          <w:lang w:val="kk-kz"/>
        </w:rPr>
      </w:pPr>
      <w:r>
        <w:rPr>
          <w:rFonts w:ascii="Times New Roman" w:hAnsi="Times New Roman" w:cs="Times New Roman"/>
          <w:sz w:val="24"/>
          <w:szCs w:val="24"/>
          <w:lang w:val="kk-kz"/>
        </w:rPr>
        <w:t>1.1 Халықаралық экологиялық құқық түсінігі және оның мазмұны</w:t>
      </w:r>
    </w:p>
    <w:p>
      <w:pPr>
        <w:pStyle w:val="para8"/>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8F9FA" tmshd="1677721856, 0, 16447992"/>
        <w:rPr>
          <w:rFonts w:ascii="Times New Roman" w:hAnsi="Times New Roman" w:cs="Times New Roman"/>
          <w:sz w:val="24"/>
          <w:szCs w:val="24"/>
          <w:lang w:val="kk-kz"/>
        </w:rPr>
      </w:pPr>
      <w:r>
        <w:rPr>
          <w:rFonts w:ascii="Times New Roman" w:hAnsi="Times New Roman" w:cs="Times New Roman"/>
          <w:sz w:val="24"/>
          <w:szCs w:val="24"/>
          <w:lang w:val="kk-kz"/>
        </w:rPr>
        <w:t>1.2 Халықаралық экологиялық құқықтың қайнар көздері</w:t>
      </w:r>
    </w:p>
    <w:p>
      <w:pPr>
        <w:pStyle w:val="para8"/>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8F9FA" tmshd="1677721856, 0, 16447992"/>
        <w:rPr>
          <w:rFonts w:ascii="Times New Roman" w:hAnsi="Times New Roman" w:cs="Times New Roman"/>
          <w:sz w:val="24"/>
          <w:szCs w:val="24"/>
          <w:lang w:val="kk-kz"/>
        </w:rPr>
      </w:pPr>
      <w:r>
        <w:rPr>
          <w:rFonts w:ascii="Times New Roman" w:hAnsi="Times New Roman" w:cs="Times New Roman"/>
          <w:sz w:val="24"/>
          <w:szCs w:val="24"/>
          <w:lang w:val="kk-kz"/>
        </w:rPr>
        <w:t>1.3 Халықаралық экологиялық құқық принциптерінің жүйесі</w:t>
      </w:r>
    </w:p>
    <w:p>
      <w:pPr>
        <w:tabs defTabSz="708"/>
        <w:rPr>
          <w:sz w:val="24"/>
          <w:szCs w:val="24"/>
          <w:lang w:eastAsia="ru-ru"/>
        </w:rPr>
      </w:pPr>
      <w:r>
        <w:rPr>
          <w:sz w:val="24"/>
          <w:szCs w:val="24"/>
          <w:lang w:eastAsia="ru-ru"/>
        </w:rPr>
        <w:t>1.4 Халықаралық экологиялық құқықтағы халықаралық ұйымдар</w:t>
      </w:r>
    </w:p>
    <w:p>
      <w:pPr>
        <w:ind w:right="-49" w:firstLine="567"/>
        <w:spacing w:before="4"/>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4"/>
          <w:szCs w:val="24"/>
          <w:lang w:eastAsia="ru-ru"/>
        </w:rPr>
      </w:pPr>
      <w:r>
        <w:rPr>
          <w:b/>
          <w:kern w:val="1"/>
          <w:sz w:val="24"/>
          <w:szCs w:val="24"/>
          <w:lang w:eastAsia="zh-cn"/>
        </w:rPr>
        <w:t>15 – тақырып.</w:t>
      </w:r>
      <w:r>
        <w:rPr>
          <w:kern w:val="1"/>
          <w:sz w:val="24"/>
          <w:szCs w:val="24"/>
          <w:lang w:eastAsia="zh-cn"/>
        </w:rPr>
        <w:t xml:space="preserve"> </w:t>
      </w:r>
      <w:r>
        <w:rPr>
          <w:b/>
          <w:sz w:val="24"/>
          <w:szCs w:val="24"/>
          <w:lang w:eastAsia="ru-ru"/>
        </w:rPr>
        <w:t>Мемлекеттер арасындағы ынтымақтастықтың халықаралық-құқықтық нысандары</w:t>
      </w:r>
      <w:r>
        <w:rPr>
          <w:b/>
          <w:sz w:val="24"/>
          <w:szCs w:val="24"/>
          <w:lang w:eastAsia="ru-ru"/>
        </w:rPr>
        <w:t>. Қазақстандағы ТДМ БҰҰДБ .</w:t>
      </w:r>
      <w:r>
        <w:rPr>
          <w:b/>
          <w:sz w:val="24"/>
          <w:szCs w:val="24"/>
          <w:lang w:eastAsia="ru-ru"/>
        </w:rPr>
      </w:r>
    </w:p>
    <w:p>
      <w:pPr>
        <w:pStyle w:val="para8"/>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8F9FA" tmshd="1677721856, 0, 16447992"/>
        <w:rPr>
          <w:rFonts w:ascii="Times New Roman" w:hAnsi="Times New Roman" w:cs="Times New Roman"/>
          <w:sz w:val="24"/>
          <w:szCs w:val="24"/>
          <w:lang w:val="kk-kz"/>
        </w:rPr>
      </w:pPr>
      <w:r>
        <w:rPr>
          <w:rFonts w:ascii="Times New Roman" w:hAnsi="Times New Roman" w:cs="Times New Roman"/>
          <w:sz w:val="24"/>
          <w:szCs w:val="24"/>
          <w:lang w:val="kk-kz"/>
        </w:rPr>
        <w:t>1.1 Туризм саласындағы халықаралық-құқықтық ынтымақтастық.</w:t>
      </w:r>
    </w:p>
    <w:p>
      <w:pPr>
        <w:pStyle w:val="para8"/>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8F9FA" tmshd="1677721856, 0, 16447992"/>
        <w:rPr>
          <w:rFonts w:ascii="Times New Roman" w:hAnsi="Times New Roman" w:cs="Times New Roman"/>
          <w:sz w:val="24"/>
          <w:szCs w:val="24"/>
          <w:lang w:val="kk-kz"/>
        </w:rPr>
      </w:pPr>
      <w:r>
        <w:rPr>
          <w:rFonts w:ascii="Times New Roman" w:hAnsi="Times New Roman" w:cs="Times New Roman"/>
          <w:sz w:val="24"/>
          <w:szCs w:val="24"/>
          <w:lang w:val="kk-kz"/>
        </w:rPr>
        <w:t>1.2 Дүниежүзілік туристік ұйым (ДСҰ)</w:t>
      </w:r>
    </w:p>
    <w:p>
      <w:pPr>
        <w:pStyle w:val="para8"/>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8F9FA" tmshd="1677721856, 0, 16447992"/>
        <w:rPr>
          <w:rFonts w:ascii="Times New Roman" w:hAnsi="Times New Roman" w:cs="Times New Roman"/>
          <w:sz w:val="24"/>
          <w:szCs w:val="24"/>
          <w:lang w:val="kk-kz"/>
        </w:rPr>
      </w:pPr>
      <w:r>
        <w:rPr>
          <w:rFonts w:ascii="Times New Roman" w:hAnsi="Times New Roman" w:cs="Times New Roman"/>
          <w:sz w:val="24"/>
          <w:szCs w:val="24"/>
          <w:lang w:val="kk-kz"/>
        </w:rPr>
        <w:t>1.4 ДСҰ-ның міндеттері.</w:t>
      </w:r>
    </w:p>
    <w:p>
      <w:pPr>
        <w:contextualSpacing/>
        <w:tabs defTabSz="708"/>
        <w:rPr>
          <w:sz w:val="24"/>
          <w:szCs w:val="24"/>
          <w:lang w:eastAsia="ru-ru"/>
        </w:rPr>
      </w:pPr>
      <w:r>
        <w:rPr>
          <w:sz w:val="24"/>
          <w:szCs w:val="24"/>
          <w:lang w:eastAsia="ru-ru"/>
        </w:rPr>
        <w:t>1.5 ДСҰ-ның мақсаттары мен бағыттары.</w:t>
      </w:r>
    </w:p>
    <w:p>
      <w:pPr>
        <w:spacing/>
        <w:jc w:val="center"/>
        <w:widowControl/>
        <w:tabs defTabSz="708"/>
        <w:rPr>
          <w:b/>
          <w:sz w:val="24"/>
          <w:szCs w:val="24"/>
          <w:lang w:eastAsia="ru-ru"/>
        </w:rPr>
      </w:pPr>
      <w:r>
        <w:rPr>
          <w:b/>
          <w:sz w:val="24"/>
          <w:szCs w:val="24"/>
          <w:lang w:eastAsia="ru-ru"/>
        </w:rPr>
        <w:t>Ұсынылатын әдебиеттер тізбесі:</w:t>
      </w:r>
    </w:p>
    <w:p>
      <w:pPr>
        <w:pStyle w:val="para1"/>
        <w:ind w:left="0"/>
        <w:contextualSpacing/>
        <w:keepNext/>
        <w:widowControl/>
        <w:tabs defTabSz="708"/>
        <w:rPr>
          <w:bCs w:val="0"/>
          <w:sz w:val="24"/>
          <w:szCs w:val="24"/>
          <w:lang w:eastAsia="ko-kr"/>
        </w:rPr>
      </w:pPr>
      <w:r>
        <w:rPr>
          <w:bCs w:val="0"/>
          <w:sz w:val="24"/>
          <w:szCs w:val="24"/>
          <w:lang w:eastAsia="ko-kr"/>
        </w:rPr>
        <w:t>Нормативті құқықтық актілер:</w:t>
      </w:r>
    </w:p>
    <w:p>
      <w:pPr>
        <w:ind w:left="93"/>
        <w:spacing/>
        <w:jc w:val="both"/>
        <w:widowControl/>
        <w:tabs defTabSz="708"/>
        <w:rPr>
          <w:sz w:val="24"/>
          <w:szCs w:val="24"/>
          <w:lang w:eastAsia="ru-ru"/>
        </w:rPr>
      </w:pPr>
      <w:r>
        <w:rPr>
          <w:sz w:val="24"/>
          <w:szCs w:val="24"/>
          <w:lang w:eastAsia="ru-ru"/>
        </w:rPr>
        <w:t>1. Қазақстан Республикасының Конституциясы. Алматы, 2023 ж.</w:t>
      </w:r>
    </w:p>
    <w:p>
      <w:pPr>
        <w:spacing/>
        <w:jc w:val="both"/>
        <w:widowControl/>
        <w:tabs defTabSz="708"/>
        <w:rPr>
          <w:sz w:val="24"/>
          <w:szCs w:val="24"/>
          <w:lang w:eastAsia="ru-ru"/>
        </w:rPr>
      </w:pPr>
      <w:r>
        <w:rPr>
          <w:sz w:val="24"/>
          <w:szCs w:val="24"/>
          <w:lang w:eastAsia="ru-ru"/>
        </w:rPr>
        <w:t>2. Қазақстан Республикасының халықаралық шарттары туралы ҚР 2005 жылғы 30 мамырдағы заңы (21.01.2019 жылы енгізілген өзгертулер және толықтырулармен)</w:t>
      </w:r>
    </w:p>
    <w:p>
      <w:pPr>
        <w:spacing/>
        <w:jc w:val="both"/>
        <w:widowControl/>
        <w:tabs defTabSz="708"/>
        <w:rPr>
          <w:sz w:val="24"/>
          <w:szCs w:val="24"/>
          <w:lang w:eastAsia="ru-ru"/>
        </w:rPr>
      </w:pPr>
      <w:r>
        <w:rPr>
          <w:sz w:val="24"/>
          <w:szCs w:val="24"/>
          <w:lang w:eastAsia="ru-ru"/>
        </w:rPr>
        <w:t>3. ҚР-ның азаматтық туралы ҚР 1991 жылғы 20 желтоқсандағы заңы. (11.07.2017 жылы енгізілген өзгертулер мен толықтырулар).</w:t>
      </w:r>
    </w:p>
    <w:p>
      <w:pPr>
        <w:spacing/>
        <w:jc w:val="both"/>
        <w:widowControl/>
        <w:tabs defTabSz="708"/>
        <w:rPr>
          <w:sz w:val="24"/>
          <w:szCs w:val="24"/>
          <w:lang w:eastAsia="ru-ru"/>
        </w:rPr>
      </w:pPr>
      <w:r>
        <w:rPr>
          <w:sz w:val="24"/>
          <w:szCs w:val="24"/>
          <w:lang w:eastAsia="ru-ru"/>
        </w:rPr>
        <w:t xml:space="preserve">4. ҚР-дағы шетел азаматтарының құқықтық жағдайы туралы  1995 жылғы  19 маусымдағы заңы (24.11.2015 енгізілген өзгертулер және толықтырулармен) </w:t>
      </w:r>
    </w:p>
    <w:p>
      <w:pPr>
        <w:numPr>
          <w:ilvl w:val="0"/>
          <w:numId w:val="3"/>
        </w:numPr>
        <w:ind w:left="360" w:hanging="360"/>
        <w:spacing/>
        <w:jc w:val="both"/>
        <w:widowControl/>
        <w:tabs defTabSz="708"/>
        <w:rPr>
          <w:sz w:val="24"/>
          <w:szCs w:val="24"/>
          <w:lang w:eastAsia="ru-ru"/>
        </w:rPr>
      </w:pPr>
      <w:r>
        <w:rPr>
          <w:sz w:val="24"/>
          <w:szCs w:val="24"/>
          <w:lang w:eastAsia="ru-ru"/>
        </w:rPr>
        <w:t>Босқындардың құқығы туралы декларация. 1967 ж.</w:t>
      </w:r>
    </w:p>
    <w:p>
      <w:pPr>
        <w:numPr>
          <w:ilvl w:val="0"/>
          <w:numId w:val="3"/>
        </w:numPr>
        <w:ind w:left="360" w:hanging="360"/>
        <w:spacing/>
        <w:jc w:val="both"/>
        <w:widowControl/>
        <w:tabs defTabSz="708"/>
        <w:rPr>
          <w:sz w:val="24"/>
          <w:szCs w:val="24"/>
          <w:lang w:eastAsia="ru-ru"/>
        </w:rPr>
      </w:pPr>
      <w:r>
        <w:rPr>
          <w:sz w:val="24"/>
          <w:szCs w:val="24"/>
          <w:lang w:eastAsia="ru-ru"/>
        </w:rPr>
        <w:t>Адам құқықтары туралы жалпыға бiрдей декларация. 10 желтоқсан 1948 ж.</w:t>
      </w:r>
    </w:p>
    <w:p>
      <w:pPr>
        <w:numPr>
          <w:ilvl w:val="0"/>
          <w:numId w:val="3"/>
        </w:numPr>
        <w:ind w:left="360" w:hanging="360"/>
        <w:spacing/>
        <w:jc w:val="both"/>
        <w:widowControl/>
        <w:tabs defTabSz="708"/>
        <w:rPr>
          <w:sz w:val="24"/>
          <w:szCs w:val="24"/>
          <w:lang w:eastAsia="ru-ru"/>
        </w:rPr>
      </w:pPr>
      <w:r>
        <w:rPr>
          <w:sz w:val="24"/>
          <w:szCs w:val="24"/>
          <w:lang w:eastAsia="ru-ru"/>
        </w:rPr>
        <w:t>Адам құқықтары туралы халықаралық пактiлер. 19 желтоқсан 1966 ж.</w:t>
      </w:r>
    </w:p>
    <w:p>
      <w:pPr>
        <w:numPr>
          <w:ilvl w:val="0"/>
          <w:numId w:val="3"/>
        </w:numPr>
        <w:ind w:left="360" w:hanging="360"/>
        <w:spacing/>
        <w:jc w:val="both"/>
        <w:widowControl/>
        <w:tabs defTabSz="708"/>
        <w:rPr>
          <w:sz w:val="24"/>
          <w:szCs w:val="24"/>
          <w:lang w:eastAsia="ru-ru"/>
        </w:rPr>
      </w:pPr>
      <w:r>
        <w:rPr>
          <w:sz w:val="24"/>
          <w:szCs w:val="24"/>
          <w:lang w:eastAsia="ru-ru"/>
        </w:rPr>
        <w:t xml:space="preserve">ҚР-ның заңы Дипломатиялық қызметі туралы ҚР 2002 жылғы 7 наурыздағы заңы (20.06.2017 енгізілген өзгертулер және толықтырулармен) </w:t>
      </w:r>
    </w:p>
    <w:p>
      <w:pPr>
        <w:numPr>
          <w:ilvl w:val="0"/>
          <w:numId w:val="3"/>
        </w:numPr>
        <w:ind w:left="360" w:hanging="360"/>
        <w:spacing/>
        <w:jc w:val="both"/>
        <w:widowControl/>
        <w:tabs defTabSz="708"/>
        <w:rPr>
          <w:sz w:val="24"/>
          <w:szCs w:val="24"/>
          <w:lang w:eastAsia="ru-ru"/>
        </w:rPr>
      </w:pPr>
      <w:r>
        <w:rPr>
          <w:sz w:val="24"/>
          <w:szCs w:val="24"/>
          <w:lang w:eastAsia="ru-ru"/>
        </w:rPr>
        <w:t>Дипломатиялық қатынастар туралы Вена конвенциясы. 1961ж</w:t>
      </w:r>
    </w:p>
    <w:p>
      <w:pPr>
        <w:numPr>
          <w:ilvl w:val="0"/>
          <w:numId w:val="3"/>
        </w:numPr>
        <w:ind w:left="360" w:hanging="360"/>
        <w:spacing/>
        <w:jc w:val="both"/>
        <w:widowControl/>
        <w:tabs defTabSz="708"/>
        <w:rPr>
          <w:sz w:val="24"/>
          <w:szCs w:val="24"/>
          <w:lang w:eastAsia="ru-ru"/>
        </w:rPr>
      </w:pPr>
      <w:r>
        <w:rPr>
          <w:sz w:val="24"/>
          <w:szCs w:val="24"/>
          <w:lang w:eastAsia="ru-ru"/>
        </w:rPr>
        <w:t>БҰҰ-ның жарғысы мен Халықаралық Сот Статусы (Международное публичное право Сб. Док. Т 1, М.1996)</w:t>
      </w:r>
    </w:p>
    <w:p>
      <w:pPr>
        <w:pStyle w:val="para2"/>
        <w:numPr>
          <w:ilvl w:val="0"/>
          <w:numId w:val="3"/>
        </w:numPr>
        <w:ind w:left="360" w:hanging="360"/>
        <w:widowControl/>
        <w:tabs defTabSz="708"/>
        <w:rPr>
          <w:sz w:val="24"/>
          <w:szCs w:val="24"/>
          <w:lang w:eastAsia="ru-ru"/>
        </w:rPr>
      </w:pPr>
      <w:r>
        <w:rPr>
          <w:sz w:val="24"/>
          <w:szCs w:val="24"/>
          <w:lang w:eastAsia="ru-ru"/>
        </w:rPr>
        <w:t>Әскери қылмыстарға ескіру мерзімінің қолданылмауы туралы Конвенция 1983 ж.</w:t>
      </w:r>
      <w:r>
        <w:rPr>
          <w:b/>
          <w:sz w:val="24"/>
          <w:szCs w:val="24"/>
          <w:lang w:eastAsia="ru-ru"/>
        </w:rPr>
        <w:t xml:space="preserve"> </w:t>
      </w:r>
      <w:r>
        <w:rPr>
          <w:sz w:val="24"/>
          <w:szCs w:val="24"/>
          <w:lang w:eastAsia="ru-ru"/>
        </w:rPr>
      </w:r>
    </w:p>
    <w:p>
      <w:pPr>
        <w:pStyle w:val="para2"/>
        <w:numPr>
          <w:ilvl w:val="0"/>
          <w:numId w:val="3"/>
        </w:numPr>
        <w:ind w:left="360" w:hanging="360"/>
        <w:widowControl/>
        <w:tabs defTabSz="708"/>
        <w:rPr>
          <w:sz w:val="24"/>
          <w:szCs w:val="24"/>
          <w:lang w:eastAsia="ru-ru"/>
        </w:rPr>
      </w:pPr>
      <w:r>
        <w:rPr>
          <w:sz w:val="24"/>
          <w:szCs w:val="24"/>
          <w:lang w:val="ru-ru" w:eastAsia="ru-ru"/>
        </w:rPr>
        <w:t>Азаптауға қарсы Конвенция</w:t>
      </w:r>
      <w:r>
        <w:rPr>
          <w:sz w:val="24"/>
          <w:szCs w:val="24"/>
          <w:lang w:eastAsia="ru-ru"/>
        </w:rPr>
        <w:t xml:space="preserve"> 1984 ж.</w:t>
      </w:r>
    </w:p>
    <w:p>
      <w:pPr>
        <w:pStyle w:val="para2"/>
        <w:numPr>
          <w:ilvl w:val="0"/>
          <w:numId w:val="3"/>
        </w:numPr>
        <w:ind w:left="360" w:hanging="360"/>
        <w:widowControl/>
        <w:tabs defTabSz="708"/>
        <w:rPr>
          <w:sz w:val="24"/>
          <w:szCs w:val="24"/>
          <w:lang w:eastAsia="ru-ru"/>
        </w:rPr>
      </w:pPr>
      <w:r>
        <w:rPr>
          <w:sz w:val="24"/>
          <w:szCs w:val="24"/>
          <w:lang w:eastAsia="ru-ru"/>
        </w:rPr>
        <w:t>Бейбітшілік пен адамзат қауіпсіздігіне қарсы қылмыстар кодексі 2003 ж.</w:t>
      </w:r>
    </w:p>
    <w:p>
      <w:pPr>
        <w:pStyle w:val="para2"/>
        <w:numPr>
          <w:ilvl w:val="0"/>
          <w:numId w:val="3"/>
        </w:numPr>
        <w:ind w:left="360" w:hanging="360"/>
        <w:widowControl/>
        <w:tabs defTabSz="708"/>
        <w:rPr>
          <w:sz w:val="24"/>
          <w:szCs w:val="24"/>
          <w:lang w:eastAsia="ru-ru"/>
        </w:rPr>
      </w:pPr>
      <w:r>
        <w:rPr>
          <w:sz w:val="24"/>
          <w:szCs w:val="24"/>
          <w:lang w:eastAsia="ru-ru"/>
        </w:rPr>
        <w:t>Халықаралық Әскери трибунал Жарғысы 1945 жыл</w:t>
      </w:r>
    </w:p>
    <w:p>
      <w:pPr>
        <w:pStyle w:val="para2"/>
        <w:numPr>
          <w:ilvl w:val="0"/>
          <w:numId w:val="3"/>
        </w:numPr>
        <w:ind w:left="360" w:hanging="360"/>
        <w:widowControl/>
        <w:tabs defTabSz="708"/>
        <w:rPr>
          <w:sz w:val="24"/>
          <w:szCs w:val="24"/>
          <w:lang w:eastAsia="ru-ru"/>
        </w:rPr>
      </w:pPr>
      <w:r>
        <w:rPr>
          <w:sz w:val="24"/>
          <w:szCs w:val="24"/>
          <w:lang w:val="ru-ru" w:eastAsia="ru-ru"/>
        </w:rPr>
        <w:t>Жаңа әлемдік экономикалық тәртіп туралы Декларация</w:t>
      </w:r>
      <w:r>
        <w:rPr>
          <w:sz w:val="24"/>
          <w:szCs w:val="24"/>
          <w:lang w:eastAsia="ru-ru"/>
        </w:rPr>
        <w:t xml:space="preserve"> 1974 ж.</w:t>
      </w:r>
    </w:p>
    <w:p>
      <w:pPr>
        <w:numPr>
          <w:ilvl w:val="0"/>
          <w:numId w:val="3"/>
        </w:numPr>
        <w:ind w:left="360" w:hanging="360"/>
        <w:spacing/>
        <w:jc w:val="both"/>
        <w:widowControl/>
        <w:tabs defTabSz="708"/>
        <w:rPr>
          <w:sz w:val="24"/>
          <w:szCs w:val="24"/>
          <w:lang w:eastAsia="ru-ru"/>
        </w:rPr>
      </w:pPr>
      <w:r>
        <w:rPr>
          <w:sz w:val="24"/>
          <w:szCs w:val="24"/>
          <w:lang w:eastAsia="ru-ru"/>
        </w:rPr>
        <w:t>Жаңа Еуропаға арналған Париж хартиясы 1990 ж.</w:t>
      </w:r>
    </w:p>
    <w:p>
      <w:pPr>
        <w:numPr>
          <w:ilvl w:val="0"/>
          <w:numId w:val="3"/>
        </w:numPr>
        <w:ind w:left="360" w:hanging="360"/>
        <w:spacing/>
        <w:jc w:val="both"/>
        <w:widowControl/>
        <w:tabs defTabSz="708"/>
        <w:rPr>
          <w:sz w:val="24"/>
          <w:szCs w:val="24"/>
          <w:lang w:eastAsia="ru-ru"/>
        </w:rPr>
      </w:pPr>
      <w:r>
        <w:rPr>
          <w:sz w:val="24"/>
          <w:szCs w:val="24"/>
          <w:lang w:eastAsia="ru-ru"/>
        </w:rPr>
        <w:t>ҚР мен АҚШ арасындағы сауда қатынастары туралы келісім 1992 ж.</w:t>
      </w:r>
    </w:p>
    <w:p>
      <w:pPr>
        <w:pStyle w:val="para2"/>
        <w:numPr>
          <w:ilvl w:val="0"/>
          <w:numId w:val="3"/>
        </w:numPr>
        <w:ind w:left="360" w:hanging="360"/>
        <w:widowControl/>
        <w:tabs defTabSz="708"/>
        <w:rPr>
          <w:sz w:val="24"/>
          <w:szCs w:val="24"/>
          <w:lang w:eastAsia="ru-ru"/>
        </w:rPr>
      </w:pPr>
      <w:r>
        <w:rPr>
          <w:sz w:val="24"/>
          <w:szCs w:val="24"/>
          <w:lang w:eastAsia="ru-ru"/>
        </w:rPr>
        <w:t>Документ СБСЕ *Вызов времени перемен* 1992 года</w:t>
      </w:r>
    </w:p>
    <w:p>
      <w:pPr>
        <w:pStyle w:val="para2"/>
        <w:numPr>
          <w:ilvl w:val="0"/>
          <w:numId w:val="3"/>
        </w:numPr>
        <w:ind w:left="360" w:hanging="360"/>
        <w:widowControl/>
        <w:tabs defTabSz="708"/>
        <w:rPr>
          <w:sz w:val="24"/>
          <w:szCs w:val="24"/>
          <w:lang w:eastAsia="ru-ru"/>
        </w:rPr>
      </w:pPr>
      <w:r>
        <w:rPr>
          <w:sz w:val="24"/>
          <w:szCs w:val="24"/>
          <w:lang w:eastAsia="ru-ru"/>
        </w:rPr>
        <w:t>Декларация Рис 1992 года</w:t>
      </w:r>
    </w:p>
    <w:p>
      <w:pPr>
        <w:pStyle w:val="para2"/>
        <w:numPr>
          <w:ilvl w:val="0"/>
          <w:numId w:val="3"/>
        </w:numPr>
        <w:ind w:left="360" w:hanging="360"/>
        <w:widowControl/>
        <w:tabs defTabSz="708"/>
        <w:rPr>
          <w:sz w:val="24"/>
          <w:szCs w:val="24"/>
          <w:lang w:eastAsia="ru-ru"/>
        </w:rPr>
      </w:pPr>
      <w:r>
        <w:rPr>
          <w:sz w:val="24"/>
          <w:szCs w:val="24"/>
          <w:lang w:val="ru-ru" w:eastAsia="ru-ru"/>
        </w:rPr>
        <w:t>Жердің озон қабатын қорғау туралы Вена конвенциясы</w:t>
      </w:r>
      <w:r>
        <w:rPr>
          <w:sz w:val="24"/>
          <w:szCs w:val="24"/>
          <w:lang w:eastAsia="ru-ru"/>
        </w:rPr>
        <w:t xml:space="preserve"> 1985 ж.</w:t>
      </w:r>
    </w:p>
    <w:p>
      <w:pPr>
        <w:pStyle w:val="para2"/>
        <w:numPr>
          <w:ilvl w:val="0"/>
          <w:numId w:val="3"/>
        </w:numPr>
        <w:ind w:left="360" w:hanging="360"/>
        <w:widowControl/>
        <w:tabs defTabSz="708"/>
        <w:rPr>
          <w:sz w:val="24"/>
          <w:szCs w:val="24"/>
          <w:lang w:eastAsia="ru-ru"/>
        </w:rPr>
      </w:pPr>
      <w:r>
        <w:rPr>
          <w:sz w:val="24"/>
          <w:szCs w:val="24"/>
          <w:lang w:eastAsia="ru-ru"/>
        </w:rPr>
        <w:t>Табиғи ортаға әсер ету құралдарын әскери немесе басқа да зиянды пайдалануға тыйым салу туралы Конвенция 1976 ж.</w:t>
      </w:r>
    </w:p>
    <w:p>
      <w:pPr>
        <w:pStyle w:val="para2"/>
        <w:numPr>
          <w:ilvl w:val="0"/>
          <w:numId w:val="3"/>
        </w:numPr>
        <w:ind w:left="360" w:hanging="360"/>
        <w:widowControl/>
        <w:tabs defTabSz="708"/>
        <w:rPr>
          <w:sz w:val="24"/>
          <w:szCs w:val="24"/>
          <w:lang w:eastAsia="ru-ru"/>
        </w:rPr>
      </w:pPr>
      <w:r>
        <w:rPr>
          <w:sz w:val="24"/>
          <w:szCs w:val="24"/>
          <w:lang w:eastAsia="ru-ru"/>
        </w:rPr>
        <w:t>Интервенцияға және мемлекеттердің ішкі істеріне араласуға жол бермеу туралы Декларация 1981 ж.</w:t>
      </w:r>
    </w:p>
    <w:p>
      <w:pPr>
        <w:numPr>
          <w:ilvl w:val="0"/>
          <w:numId w:val="3"/>
        </w:numPr>
        <w:ind w:left="360" w:hanging="360"/>
        <w:spacing/>
        <w:jc w:val="both"/>
        <w:widowControl/>
        <w:tabs defTabSz="708"/>
        <w:rPr>
          <w:sz w:val="24"/>
          <w:szCs w:val="24"/>
          <w:lang w:eastAsia="ru-ru"/>
        </w:rPr>
      </w:pPr>
      <w:r>
        <w:rPr>
          <w:sz w:val="24"/>
          <w:szCs w:val="24"/>
          <w:lang w:eastAsia="ru-ru"/>
        </w:rPr>
        <w:t>Ұлттық саясат құралы ретінде соғыстан бас тарту туралы Париж шарты 1928 ж.</w:t>
      </w:r>
    </w:p>
    <w:p>
      <w:pPr>
        <w:numPr>
          <w:ilvl w:val="0"/>
          <w:numId w:val="3"/>
        </w:numPr>
        <w:ind w:left="360" w:hanging="360"/>
        <w:spacing/>
        <w:jc w:val="both"/>
        <w:widowControl/>
        <w:tabs defTabSz="708"/>
        <w:rPr>
          <w:sz w:val="24"/>
          <w:szCs w:val="24"/>
          <w:lang w:eastAsia="ru-ru"/>
        </w:rPr>
      </w:pPr>
      <w:r>
        <w:rPr>
          <w:sz w:val="24"/>
          <w:szCs w:val="24"/>
          <w:lang w:val="ru-ru" w:eastAsia="ru-ru"/>
        </w:rPr>
        <w:t>Ғарыш жөніндегі шарт</w:t>
      </w:r>
      <w:r>
        <w:rPr>
          <w:sz w:val="24"/>
          <w:szCs w:val="24"/>
          <w:lang w:eastAsia="ru-ru"/>
        </w:rPr>
        <w:t xml:space="preserve"> 1967 ж.</w:t>
      </w:r>
    </w:p>
    <w:p>
      <w:pPr>
        <w:pStyle w:val="para2"/>
        <w:numPr>
          <w:ilvl w:val="0"/>
          <w:numId w:val="3"/>
        </w:numPr>
        <w:ind w:left="360" w:hanging="360"/>
        <w:widowControl/>
        <w:tabs defTabSz="708"/>
        <w:rPr>
          <w:sz w:val="24"/>
          <w:szCs w:val="24"/>
          <w:lang w:eastAsia="ru-ru"/>
        </w:rPr>
      </w:pPr>
      <w:r>
        <w:rPr>
          <w:sz w:val="24"/>
          <w:szCs w:val="24"/>
          <w:lang w:eastAsia="ru-ru"/>
        </w:rPr>
        <w:t>Ғарыш объектілері келтірген залал үшін жауапкершілік туралы Конвенция 1972 ж.</w:t>
      </w:r>
    </w:p>
    <w:p>
      <w:pPr>
        <w:pStyle w:val="para2"/>
        <w:numPr>
          <w:ilvl w:val="0"/>
          <w:numId w:val="3"/>
        </w:numPr>
        <w:ind w:left="360" w:hanging="360"/>
        <w:widowControl/>
        <w:tabs defTabSz="708"/>
        <w:rPr>
          <w:sz w:val="24"/>
          <w:szCs w:val="24"/>
          <w:lang w:eastAsia="ru-ru"/>
        </w:rPr>
      </w:pPr>
      <w:r>
        <w:rPr>
          <w:sz w:val="24"/>
          <w:szCs w:val="24"/>
          <w:lang w:val="ru-ru" w:eastAsia="ru-ru"/>
        </w:rPr>
        <w:t>Ғарышкерлерді құтқару келісімдері</w:t>
      </w:r>
      <w:r>
        <w:rPr>
          <w:sz w:val="24"/>
          <w:szCs w:val="24"/>
          <w:lang w:eastAsia="ru-ru"/>
        </w:rPr>
        <w:t xml:space="preserve"> 1968 ж.</w:t>
      </w:r>
    </w:p>
    <w:p>
      <w:pPr>
        <w:pStyle w:val="para2"/>
        <w:numPr>
          <w:ilvl w:val="0"/>
          <w:numId w:val="3"/>
        </w:numPr>
        <w:ind w:left="360" w:hanging="360"/>
        <w:widowControl/>
        <w:tabs defTabSz="708"/>
        <w:rPr>
          <w:sz w:val="24"/>
          <w:szCs w:val="24"/>
          <w:lang w:eastAsia="ru-ru"/>
        </w:rPr>
      </w:pPr>
      <w:r>
        <w:rPr>
          <w:sz w:val="24"/>
          <w:szCs w:val="24"/>
          <w:lang w:eastAsia="ru-ru"/>
        </w:rPr>
        <w:t xml:space="preserve">Қазақстан Республикасының мемлекеттік шекарасы туралы ҚР Заңы 2013 жылғы 16 қаңтардағы заңы. (19.04.2019 енгізілген толықтырулар және өзгертулермен) </w:t>
      </w:r>
    </w:p>
    <w:p>
      <w:pPr>
        <w:pStyle w:val="para2"/>
        <w:numPr>
          <w:ilvl w:val="0"/>
          <w:numId w:val="3"/>
        </w:numPr>
        <w:ind w:left="360" w:hanging="360"/>
        <w:widowControl/>
        <w:tabs defTabSz="708"/>
        <w:rPr>
          <w:sz w:val="24"/>
          <w:szCs w:val="24"/>
          <w:lang w:eastAsia="ru-ru"/>
        </w:rPr>
      </w:pPr>
      <w:r>
        <w:rPr>
          <w:sz w:val="24"/>
          <w:szCs w:val="24"/>
          <w:lang w:eastAsia="ru-ru"/>
        </w:rPr>
        <w:t>Халықаралық шарттарға қатысты мемлекеттердің құқықтық мирасқорлығы туралы Вена конвенциясы 1978ж.</w:t>
      </w:r>
    </w:p>
    <w:p>
      <w:pPr>
        <w:pStyle w:val="para2"/>
        <w:numPr>
          <w:ilvl w:val="0"/>
          <w:numId w:val="3"/>
        </w:numPr>
        <w:ind w:left="360" w:hanging="360"/>
        <w:widowControl/>
        <w:tabs defTabSz="708"/>
        <w:rPr>
          <w:sz w:val="24"/>
          <w:szCs w:val="24"/>
          <w:lang w:eastAsia="ru-ru"/>
        </w:rPr>
      </w:pPr>
      <w:r>
        <w:rPr>
          <w:sz w:val="24"/>
          <w:szCs w:val="24"/>
          <w:lang w:eastAsia="ru-ru"/>
        </w:rPr>
        <w:t>Мемлекеттік мұрағаттар мен мемлекеттік борыштардың мемлекеттік меншігіне қатысты мемлекеттердің құқықтық мирасқорлығы туралы Вена конвенциясы 1983ж.</w:t>
      </w:r>
    </w:p>
    <w:p>
      <w:pPr>
        <w:pStyle w:val="para2"/>
        <w:numPr>
          <w:ilvl w:val="0"/>
          <w:numId w:val="3"/>
        </w:numPr>
        <w:ind w:left="360" w:hanging="360"/>
        <w:widowControl/>
        <w:tabs defTabSz="708"/>
        <w:rPr>
          <w:sz w:val="24"/>
          <w:szCs w:val="24"/>
          <w:lang w:eastAsia="ru-ru"/>
        </w:rPr>
      </w:pPr>
      <w:r>
        <w:rPr>
          <w:sz w:val="24"/>
          <w:szCs w:val="24"/>
          <w:lang w:eastAsia="ru-ru"/>
        </w:rPr>
        <w:t xml:space="preserve">1970 жылғы БҰҰ-ның халықаралық құқық қағидалары туралы декларацисы </w:t>
      </w:r>
    </w:p>
    <w:p>
      <w:pPr>
        <w:pStyle w:val="para2"/>
        <w:numPr>
          <w:ilvl w:val="0"/>
          <w:numId w:val="3"/>
        </w:numPr>
        <w:ind w:left="360" w:hanging="360"/>
        <w:widowControl/>
        <w:tabs defTabSz="708"/>
        <w:rPr>
          <w:sz w:val="24"/>
          <w:szCs w:val="24"/>
          <w:lang w:eastAsia="ru-ru"/>
        </w:rPr>
      </w:pPr>
      <w:r>
        <w:rPr>
          <w:sz w:val="24"/>
          <w:szCs w:val="24"/>
          <w:lang w:eastAsia="ru-ru"/>
        </w:rPr>
        <w:t>1975 Жылғы Хельсинкидегi Кеңестiң қортынды актiсiнiң маңызы.</w:t>
      </w:r>
    </w:p>
    <w:p>
      <w:pPr>
        <w:pStyle w:val="para2"/>
        <w:numPr>
          <w:ilvl w:val="0"/>
          <w:numId w:val="3"/>
        </w:numPr>
        <w:ind w:left="360" w:hanging="360"/>
        <w:widowControl/>
        <w:tabs defTabSz="708"/>
        <w:rPr>
          <w:sz w:val="24"/>
          <w:szCs w:val="24"/>
          <w:lang w:eastAsia="ru-ru"/>
        </w:rPr>
      </w:pPr>
      <w:r>
        <w:rPr>
          <w:sz w:val="24"/>
          <w:szCs w:val="24"/>
          <w:lang w:eastAsia="ru-ru"/>
        </w:rPr>
        <w:t>Халықаралық шарттар құқығы туралы Вена конвенциясы 1969ж.</w:t>
      </w:r>
    </w:p>
    <w:p>
      <w:pPr>
        <w:pStyle w:val="para2"/>
        <w:numPr>
          <w:ilvl w:val="0"/>
          <w:numId w:val="3"/>
        </w:numPr>
        <w:ind w:left="360" w:hanging="360"/>
        <w:widowControl/>
        <w:tabs defTabSz="708"/>
        <w:rPr>
          <w:sz w:val="24"/>
          <w:szCs w:val="24"/>
          <w:lang w:eastAsia="ru-ru"/>
        </w:rPr>
      </w:pPr>
      <w:r>
        <w:rPr>
          <w:sz w:val="24"/>
          <w:szCs w:val="24"/>
          <w:lang w:eastAsia="ru-ru"/>
        </w:rPr>
        <w:t>Мемлекеттер мен халықаралық ұйымдар арасындағы халықаралық шарттар құқығы туралы Вена конвенциясы 1986 ж.</w:t>
      </w:r>
    </w:p>
    <w:p>
      <w:pPr>
        <w:spacing w:line="276" w:lineRule="auto"/>
        <w:jc w:val="center"/>
        <w:widowControl/>
        <w:tabs defTabSz="708"/>
        <w:rPr>
          <w:b/>
          <w:bCs/>
          <w:sz w:val="24"/>
          <w:szCs w:val="24"/>
          <w:lang w:eastAsia="ru-ru"/>
        </w:rPr>
      </w:pPr>
      <w:r>
        <w:rPr>
          <w:b/>
          <w:sz w:val="24"/>
          <w:szCs w:val="24"/>
          <w:lang w:val="en-us" w:eastAsia="ru-ru"/>
        </w:rPr>
        <w:t>II</w:t>
      </w:r>
      <w:r>
        <w:rPr>
          <w:sz w:val="24"/>
          <w:szCs w:val="24"/>
          <w:lang w:val="en-us" w:eastAsia="ru-ru"/>
        </w:rPr>
        <w:t xml:space="preserve"> </w:t>
      </w:r>
      <w:r>
        <w:rPr>
          <w:rStyle w:val="char2"/>
          <w:sz w:val="24"/>
          <w:szCs w:val="24"/>
          <w:lang w:eastAsia="ru-ru"/>
        </w:rPr>
        <w:t>Негізгі әдебиет</w:t>
      </w:r>
      <w:r>
        <w:rPr>
          <w:b/>
          <w:bCs/>
          <w:sz w:val="24"/>
          <w:szCs w:val="24"/>
          <w:lang w:eastAsia="ru-ru"/>
        </w:rPr>
      </w:r>
    </w:p>
    <w:p>
      <w:pPr>
        <w:pStyle w:val="para2"/>
        <w:numPr>
          <w:ilvl w:val="0"/>
          <w:numId w:val="4"/>
        </w:numPr>
        <w:ind w:left="360" w:hanging="360"/>
        <w:widowControl/>
        <w:tabs defTabSz="708"/>
        <w:rPr>
          <w:sz w:val="24"/>
          <w:szCs w:val="24"/>
          <w:lang w:eastAsia="ru-ru"/>
        </w:rPr>
      </w:pPr>
      <w:r>
        <w:rPr>
          <w:sz w:val="24"/>
          <w:szCs w:val="24"/>
          <w:lang w:eastAsia="ru-ru"/>
        </w:rPr>
        <w:t>Құлжабаева Ж.О. Халықаралық жария құқық. Жалпы және ерекше бөлiмдер. Алматы, 2018 ж.</w:t>
      </w:r>
    </w:p>
    <w:p>
      <w:pPr>
        <w:pStyle w:val="para2"/>
        <w:numPr>
          <w:ilvl w:val="0"/>
          <w:numId w:val="4"/>
        </w:numPr>
        <w:ind w:left="360" w:hanging="360"/>
        <w:widowControl/>
        <w:tabs defTabSz="708"/>
        <w:rPr>
          <w:sz w:val="24"/>
          <w:szCs w:val="24"/>
          <w:lang w:eastAsia="ru-ru"/>
        </w:rPr>
      </w:pPr>
      <w:r>
        <w:rPr>
          <w:sz w:val="24"/>
          <w:szCs w:val="24"/>
          <w:lang w:eastAsia="ru-ru"/>
        </w:rPr>
        <w:t>Практикум по международному праву/Отв. Ред. Проф. Г.В.Игнатенко, проф, С.Ю.Марочкин, проф. О.И.Тиунов.-М, 2019 г.</w:t>
      </w:r>
    </w:p>
    <w:p>
      <w:pPr>
        <w:pStyle w:val="para2"/>
        <w:numPr>
          <w:ilvl w:val="0"/>
          <w:numId w:val="4"/>
        </w:numPr>
        <w:ind w:left="360" w:hanging="360"/>
        <w:widowControl/>
        <w:tabs defTabSz="708"/>
        <w:rPr>
          <w:sz w:val="24"/>
          <w:szCs w:val="24"/>
          <w:lang w:eastAsia="ru-ru"/>
        </w:rPr>
      </w:pPr>
      <w:r>
        <w:rPr>
          <w:sz w:val="24"/>
          <w:szCs w:val="24"/>
          <w:lang w:eastAsia="ru-ru"/>
        </w:rPr>
        <w:t>Бекяшев К.А., Волосов М.Е. Международное публичное право. Практикум, схемы –М, 2004г.</w:t>
      </w:r>
    </w:p>
    <w:p>
      <w:pPr>
        <w:pStyle w:val="para2"/>
        <w:numPr>
          <w:ilvl w:val="0"/>
          <w:numId w:val="4"/>
        </w:numPr>
        <w:ind w:left="360" w:hanging="360"/>
        <w:widowControl/>
        <w:tabs defTabSz="708"/>
        <w:rPr>
          <w:sz w:val="24"/>
          <w:szCs w:val="24"/>
          <w:lang w:eastAsia="ru-ru"/>
        </w:rPr>
      </w:pPr>
      <w:r>
        <w:rPr>
          <w:sz w:val="24"/>
          <w:szCs w:val="24"/>
          <w:lang w:eastAsia="ru-ru"/>
        </w:rPr>
        <w:t>Ю.М.Колосов, В.И.Кузнецов. Международное право –М, 1998г.</w:t>
      </w:r>
    </w:p>
    <w:p>
      <w:pPr>
        <w:pStyle w:val="para2"/>
        <w:numPr>
          <w:ilvl w:val="0"/>
          <w:numId w:val="4"/>
        </w:numPr>
        <w:ind w:left="360" w:hanging="360"/>
        <w:widowControl/>
        <w:tabs defTabSz="708"/>
        <w:rPr>
          <w:sz w:val="24"/>
          <w:szCs w:val="24"/>
          <w:lang w:eastAsia="ru-ru"/>
        </w:rPr>
      </w:pPr>
      <w:r>
        <w:rPr>
          <w:sz w:val="24"/>
          <w:szCs w:val="24"/>
          <w:lang w:eastAsia="ru-ru"/>
        </w:rPr>
        <w:t>Сорокина А.В. Международное право. П-2018 г.</w:t>
      </w:r>
    </w:p>
    <w:p>
      <w:pPr>
        <w:pStyle w:val="para2"/>
        <w:numPr>
          <w:ilvl w:val="0"/>
          <w:numId w:val="4"/>
        </w:numPr>
        <w:ind w:left="360" w:hanging="360"/>
        <w:widowControl/>
        <w:tabs defTabSz="708"/>
        <w:rPr>
          <w:sz w:val="24"/>
          <w:szCs w:val="24"/>
          <w:lang w:eastAsia="ru-ru"/>
        </w:rPr>
      </w:pPr>
      <w:r>
        <w:rPr>
          <w:sz w:val="24"/>
          <w:szCs w:val="24"/>
          <w:lang w:eastAsia="ru-ru"/>
        </w:rPr>
        <w:t>Под. Ред. д.ю.н. проф М.А.Сарсембаев, О.Н. Сафонова. Тематика контрольных  и курсовых работ по международному публичному праву А-2017 г.</w:t>
      </w:r>
    </w:p>
    <w:p>
      <w:pPr>
        <w:pStyle w:val="para2"/>
        <w:numPr>
          <w:ilvl w:val="0"/>
          <w:numId w:val="4"/>
        </w:numPr>
        <w:ind w:left="360" w:hanging="360"/>
        <w:widowControl/>
        <w:tabs defTabSz="708"/>
        <w:rPr>
          <w:sz w:val="24"/>
          <w:szCs w:val="24"/>
          <w:lang w:eastAsia="ru-ru"/>
        </w:rPr>
      </w:pPr>
      <w:r>
        <w:rPr>
          <w:sz w:val="24"/>
          <w:szCs w:val="24"/>
          <w:lang w:eastAsia="ru-ru"/>
        </w:rPr>
        <w:t>М.А. Сарсембаев Межународное првао. А-2016 г.</w:t>
      </w:r>
    </w:p>
    <w:p>
      <w:pPr>
        <w:pStyle w:val="para2"/>
        <w:numPr>
          <w:ilvl w:val="0"/>
          <w:numId w:val="4"/>
        </w:numPr>
        <w:ind w:left="360" w:hanging="360"/>
        <w:widowControl/>
        <w:tabs defTabSz="708"/>
        <w:rPr>
          <w:sz w:val="24"/>
          <w:szCs w:val="24"/>
          <w:lang w:eastAsia="ru-ru"/>
        </w:rPr>
      </w:pPr>
      <w:r>
        <w:rPr>
          <w:sz w:val="24"/>
          <w:szCs w:val="24"/>
          <w:lang w:eastAsia="ru-ru"/>
        </w:rPr>
        <w:t>Курс межународного права. М-2019 г.</w:t>
      </w:r>
    </w:p>
    <w:p>
      <w:pPr>
        <w:pStyle w:val="para2"/>
        <w:numPr>
          <w:ilvl w:val="0"/>
          <w:numId w:val="4"/>
        </w:numPr>
        <w:ind w:left="360" w:hanging="360"/>
        <w:widowControl/>
        <w:tabs defTabSz="708"/>
        <w:rPr>
          <w:sz w:val="24"/>
          <w:szCs w:val="24"/>
          <w:lang w:eastAsia="ru-ru"/>
        </w:rPr>
      </w:pPr>
      <w:r>
        <w:rPr>
          <w:sz w:val="24"/>
          <w:szCs w:val="24"/>
          <w:lang w:eastAsia="ru-ru"/>
        </w:rPr>
        <w:t>Бирюков И.Н. Международное право. Воронеж, 2017 г.</w:t>
      </w:r>
    </w:p>
    <w:p>
      <w:pPr>
        <w:pStyle w:val="para2"/>
        <w:numPr>
          <w:ilvl w:val="0"/>
          <w:numId w:val="4"/>
        </w:numPr>
        <w:ind w:left="360" w:hanging="360"/>
        <w:widowControl/>
        <w:tabs defTabSz="708"/>
        <w:rPr>
          <w:sz w:val="24"/>
          <w:szCs w:val="24"/>
          <w:lang w:eastAsia="ru-ru"/>
        </w:rPr>
      </w:pPr>
      <w:r>
        <w:rPr>
          <w:sz w:val="24"/>
          <w:szCs w:val="24"/>
          <w:lang w:eastAsia="ru-ru"/>
        </w:rPr>
        <w:t>Международное право в документах. М-2015 г.</w:t>
      </w:r>
    </w:p>
    <w:p>
      <w:pPr>
        <w:pStyle w:val="para2"/>
        <w:numPr>
          <w:ilvl w:val="0"/>
          <w:numId w:val="4"/>
        </w:numPr>
        <w:ind w:left="360" w:hanging="360"/>
        <w:widowControl/>
        <w:tabs defTabSz="708"/>
        <w:rPr>
          <w:sz w:val="24"/>
          <w:szCs w:val="24"/>
          <w:lang w:eastAsia="ru-ru"/>
        </w:rPr>
      </w:pPr>
      <w:r>
        <w:rPr>
          <w:sz w:val="24"/>
          <w:szCs w:val="24"/>
          <w:lang w:eastAsia="ru-ru"/>
        </w:rPr>
        <w:t>Словарь международного право. М-2019 г.</w:t>
      </w:r>
    </w:p>
    <w:p>
      <w:pPr>
        <w:pStyle w:val="para2"/>
        <w:numPr>
          <w:ilvl w:val="0"/>
          <w:numId w:val="4"/>
        </w:numPr>
        <w:ind w:left="360" w:hanging="360"/>
        <w:widowControl/>
        <w:tabs defTabSz="708"/>
        <w:rPr>
          <w:sz w:val="24"/>
          <w:szCs w:val="24"/>
          <w:lang w:eastAsia="ru-ru"/>
        </w:rPr>
      </w:pPr>
      <w:r>
        <w:rPr>
          <w:sz w:val="24"/>
          <w:szCs w:val="24"/>
          <w:lang w:eastAsia="ru-ru"/>
        </w:rPr>
        <w:t>Международное право. П/р. Г.И.Тункин. М-2018 г.</w:t>
      </w:r>
    </w:p>
    <w:p>
      <w:pPr>
        <w:pStyle w:val="para2"/>
        <w:numPr>
          <w:ilvl w:val="0"/>
          <w:numId w:val="4"/>
        </w:numPr>
        <w:ind w:left="360" w:hanging="360"/>
        <w:widowControl/>
        <w:tabs defTabSz="708"/>
        <w:rPr>
          <w:sz w:val="24"/>
          <w:szCs w:val="24"/>
          <w:lang w:eastAsia="ru-ru"/>
        </w:rPr>
      </w:pPr>
      <w:r>
        <w:rPr>
          <w:sz w:val="24"/>
          <w:szCs w:val="24"/>
          <w:lang w:eastAsia="ru-ru"/>
        </w:rPr>
        <w:t>Международное право. П/р. Г.В.Игнатенко. М-2018 г.</w:t>
      </w:r>
    </w:p>
    <w:p>
      <w:pPr>
        <w:pStyle w:val="para2"/>
        <w:numPr>
          <w:ilvl w:val="0"/>
          <w:numId w:val="4"/>
        </w:numPr>
        <w:ind w:left="360" w:hanging="360"/>
        <w:widowControl/>
        <w:tabs defTabSz="708"/>
        <w:rPr>
          <w:sz w:val="24"/>
          <w:szCs w:val="24"/>
          <w:lang w:eastAsia="ru-ru"/>
        </w:rPr>
      </w:pPr>
      <w:r>
        <w:rPr>
          <w:sz w:val="24"/>
          <w:szCs w:val="24"/>
          <w:lang w:eastAsia="ru-ru"/>
        </w:rPr>
        <w:t>Международное право. П/р. И.И.Лукащук. М-2017 г.</w:t>
      </w:r>
    </w:p>
    <w:p>
      <w:pPr>
        <w:pStyle w:val="para2"/>
        <w:numPr>
          <w:ilvl w:val="0"/>
          <w:numId w:val="4"/>
        </w:numPr>
        <w:ind w:left="360" w:hanging="360"/>
        <w:widowControl/>
        <w:tabs defTabSz="708"/>
        <w:rPr>
          <w:sz w:val="24"/>
          <w:szCs w:val="24"/>
          <w:lang w:eastAsia="ru-ru"/>
        </w:rPr>
      </w:pPr>
      <w:r>
        <w:rPr>
          <w:sz w:val="24"/>
          <w:szCs w:val="24"/>
          <w:lang w:eastAsia="ru-ru"/>
        </w:rPr>
        <w:t>Международное право Средней Азии и Казахстан. А-2019 г.</w:t>
      </w:r>
    </w:p>
    <w:p>
      <w:pPr>
        <w:pStyle w:val="para2"/>
        <w:widowControl/>
        <w:tabs defTabSz="708"/>
        <w:rPr>
          <w:sz w:val="24"/>
          <w:szCs w:val="24"/>
          <w:lang w:eastAsia="ru-ru"/>
        </w:rPr>
      </w:pPr>
      <w:r>
        <w:rPr>
          <w:sz w:val="24"/>
          <w:szCs w:val="24"/>
          <w:lang w:eastAsia="ru-ru"/>
        </w:rPr>
      </w:r>
    </w:p>
    <w:p>
      <w:pPr>
        <w:spacing w:line="276" w:lineRule="auto"/>
        <w:jc w:val="center"/>
        <w:widowControl/>
        <w:tabs defTabSz="708"/>
        <w:rPr>
          <w:b/>
          <w:bCs/>
          <w:sz w:val="24"/>
          <w:szCs w:val="24"/>
          <w:lang w:eastAsia="ru-ru"/>
        </w:rPr>
      </w:pPr>
      <w:r>
        <w:rPr>
          <w:b/>
          <w:sz w:val="24"/>
          <w:szCs w:val="24"/>
          <w:lang w:val="en-us"/>
        </w:rPr>
        <w:t xml:space="preserve">III </w:t>
      </w:r>
      <w:r>
        <w:rPr>
          <w:b/>
          <w:sz w:val="24"/>
          <w:szCs w:val="24"/>
        </w:rPr>
        <w:t xml:space="preserve">Қосымша </w:t>
      </w:r>
      <w:r>
        <w:rPr>
          <w:rStyle w:val="char2"/>
          <w:sz w:val="24"/>
          <w:szCs w:val="24"/>
          <w:lang w:eastAsia="ru-ru"/>
        </w:rPr>
        <w:t xml:space="preserve"> әдебиет</w:t>
      </w:r>
      <w:r>
        <w:rPr>
          <w:b/>
          <w:bCs/>
          <w:sz w:val="24"/>
          <w:szCs w:val="24"/>
          <w:lang w:eastAsia="ru-ru"/>
        </w:rPr>
      </w:r>
    </w:p>
    <w:p>
      <w:pPr>
        <w:pStyle w:val="para2"/>
        <w:widowControl/>
        <w:tabs defTabSz="708"/>
        <w:rPr>
          <w:sz w:val="24"/>
          <w:szCs w:val="24"/>
          <w:lang w:eastAsia="ru-ru"/>
        </w:rPr>
      </w:pPr>
      <w:r>
        <w:rPr>
          <w:sz w:val="24"/>
          <w:szCs w:val="24"/>
          <w:lang w:eastAsia="ru-ru"/>
        </w:rPr>
        <w:t>1. Ковалев А. Привилегии и иммунитет в современном международном праве. М-2018 г.</w:t>
      </w:r>
    </w:p>
    <w:p>
      <w:pPr>
        <w:pStyle w:val="para2"/>
        <w:widowControl/>
        <w:tabs defTabSz="708"/>
        <w:rPr>
          <w:sz w:val="24"/>
          <w:szCs w:val="24"/>
          <w:lang w:eastAsia="ru-ru"/>
        </w:rPr>
      </w:pPr>
      <w:r>
        <w:rPr>
          <w:sz w:val="24"/>
          <w:szCs w:val="24"/>
          <w:lang w:eastAsia="ru-ru"/>
        </w:rPr>
        <w:t>2. Каламкарян Р.А. Фактор времени в праве международных договоров. М-2019 г.</w:t>
      </w:r>
    </w:p>
    <w:p>
      <w:pPr>
        <w:pStyle w:val="para2"/>
        <w:widowControl/>
        <w:tabs defTabSz="708"/>
        <w:rPr>
          <w:sz w:val="24"/>
          <w:szCs w:val="24"/>
          <w:lang w:eastAsia="ru-ru"/>
        </w:rPr>
      </w:pPr>
      <w:r>
        <w:rPr>
          <w:sz w:val="24"/>
          <w:szCs w:val="24"/>
          <w:lang w:eastAsia="ru-ru"/>
        </w:rPr>
        <w:t>3. Талалаев А.И. Право международных договоров. М-2018 г.</w:t>
      </w:r>
    </w:p>
    <w:p>
      <w:pPr>
        <w:pStyle w:val="para2"/>
        <w:widowControl/>
        <w:tabs defTabSz="708"/>
        <w:rPr>
          <w:sz w:val="24"/>
          <w:szCs w:val="24"/>
          <w:lang w:eastAsia="ru-ru"/>
        </w:rPr>
      </w:pPr>
      <w:r>
        <w:rPr>
          <w:sz w:val="24"/>
          <w:szCs w:val="24"/>
          <w:lang w:eastAsia="ru-ru"/>
        </w:rPr>
        <w:t>4. Шуршалов В.М. Право международных договоров. М-2016.</w:t>
      </w:r>
    </w:p>
    <w:p>
      <w:pPr>
        <w:pStyle w:val="para2"/>
        <w:ind w:left="93"/>
        <w:widowControl/>
        <w:tabs defTabSz="708"/>
        <w:rPr>
          <w:sz w:val="24"/>
          <w:szCs w:val="24"/>
          <w:lang w:eastAsia="ru-ru"/>
        </w:rPr>
      </w:pPr>
      <w:r>
        <w:rPr>
          <w:sz w:val="24"/>
          <w:szCs w:val="24"/>
          <w:lang w:eastAsia="ru-ru"/>
        </w:rPr>
      </w:r>
    </w:p>
    <w:p>
      <w:pPr>
        <w:ind w:firstLine="567"/>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b/>
          <w:kern w:val="1"/>
          <w:sz w:val="24"/>
          <w:szCs w:val="24"/>
          <w:lang w:eastAsia="zh-cn"/>
        </w:rPr>
        <w:t>Интернет-ресурстар:</w:t>
      </w:r>
      <w:r>
        <w:rPr>
          <w:kern w:val="1"/>
          <w:sz w:val="24"/>
          <w:szCs w:val="24"/>
          <w:lang w:eastAsia="zh-cn"/>
        </w:rPr>
        <w:t xml:space="preserve"> Оқу материалы-дәріс тезистері Халықаралық құқық, сондай-ақ үй тапсырмаларын, жобаларды, СӨЖ орындау үшін қажетті оқу-әдістемелік материал сіздің сайтыңыздағы бетте қол жетімді www.univer.kaznu.kz. ПОӘК бөлімінде.</w:t>
      </w:r>
    </w:p>
    <w:p>
      <w:pPr>
        <w:ind w:firstLine="567"/>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pStyle w:val="para1"/>
        <w:ind w:left="2626"/>
        <w:spacing/>
        <w:jc w:val="left"/>
        <w:rPr>
          <w:sz w:val="24"/>
          <w:szCs w:val="24"/>
        </w:rPr>
      </w:pPr>
      <w:r>
        <w:rPr>
          <w:sz w:val="24"/>
          <w:szCs w:val="24"/>
        </w:rPr>
        <w:t>Емтихан тапсыру бойынша нұсқаулық:</w:t>
      </w:r>
    </w:p>
    <w:p>
      <w:pPr>
        <w:pStyle w:val="para1"/>
        <w:ind w:left="0"/>
        <w:spacing/>
        <w:jc w:val="left"/>
        <w:rPr>
          <w:sz w:val="24"/>
          <w:szCs w:val="24"/>
        </w:rPr>
      </w:pPr>
      <w:r>
        <w:rPr>
          <w:sz w:val="24"/>
          <w:szCs w:val="24"/>
        </w:rPr>
      </w:r>
    </w:p>
    <w:p>
      <w:pPr>
        <w:pStyle w:val="para1"/>
        <w:ind w:left="0" w:firstLine="567"/>
        <w:spacing/>
        <w:jc w:val="left"/>
        <w:rPr>
          <w:b w:val="0"/>
          <w:sz w:val="24"/>
          <w:szCs w:val="24"/>
        </w:rPr>
      </w:pPr>
      <w:r>
        <w:rPr>
          <w:bCs w:val="0"/>
          <w:sz w:val="24"/>
          <w:szCs w:val="24"/>
        </w:rPr>
        <w:t>1. Халықаралық құқық</w:t>
      </w:r>
      <w:r>
        <w:rPr>
          <w:b w:val="0"/>
          <w:sz w:val="24"/>
          <w:szCs w:val="24"/>
        </w:rPr>
        <w:t xml:space="preserve"> пәні бойынша қорытынды бақылау (емтихан) 1 - курс күндізгі бөлім студенттері үшін,   univer.kaznu.kz жүйесінде тест түрінде өтеді. Барлық нұсқаулар univer.kaznu.kz басты бетіне жүктелген. </w:t>
      </w:r>
      <w:r>
        <w:rPr>
          <w:b w:val="0"/>
          <w:bCs w:val="0"/>
          <w:sz w:val="24"/>
          <w:szCs w:val="24"/>
        </w:rPr>
        <w:t>Тест қабылдау барысы – автоматты прокторинг жүйесімен бақыланады, проктор немесе оқытушының қадағалауымен (егер прокторинг болмаса).</w:t>
      </w:r>
      <w:r>
        <w:rPr>
          <w:b w:val="0"/>
          <w:sz w:val="24"/>
          <w:szCs w:val="24"/>
        </w:rPr>
        <w:t xml:space="preserve"> Прокторинг технологиясы (ағылш. «proctor» – емтихан барысын бақылау).</w:t>
      </w:r>
      <w:r>
        <w:rPr>
          <w:b w:val="0"/>
          <w:sz w:val="24"/>
          <w:szCs w:val="24"/>
        </w:rPr>
      </w:r>
    </w:p>
    <w:p>
      <w:pPr>
        <w:pStyle w:val="para1"/>
        <w:ind w:left="0" w:firstLine="567"/>
        <w:spacing/>
        <w:jc w:val="left"/>
        <w:rPr>
          <w:b w:val="0"/>
          <w:bCs w:val="0"/>
          <w:sz w:val="24"/>
          <w:szCs w:val="24"/>
        </w:rPr>
      </w:pPr>
      <w:r>
        <w:rPr>
          <w:b w:val="0"/>
          <w:bCs w:val="0"/>
          <w:sz w:val="24"/>
          <w:szCs w:val="24"/>
        </w:rPr>
        <w:t xml:space="preserve">2. </w:t>
      </w:r>
      <w:r>
        <w:rPr>
          <w:bCs w:val="0"/>
          <w:sz w:val="24"/>
          <w:szCs w:val="24"/>
        </w:rPr>
        <w:t xml:space="preserve">Маңызды </w:t>
      </w:r>
      <w:r>
        <w:rPr>
          <w:b w:val="0"/>
          <w:bCs w:val="0"/>
          <w:sz w:val="24"/>
          <w:szCs w:val="24"/>
        </w:rPr>
        <w:t>– емтихан міндетті түрде алдын ала бекітілген кестеге сәйкес жүргізілед, ол туралы алдын ала оқытушылар мен студенттерге мәлім болуы керек.</w:t>
      </w:r>
      <w:r>
        <w:rPr>
          <w:b w:val="0"/>
          <w:bCs w:val="0"/>
          <w:sz w:val="24"/>
          <w:szCs w:val="24"/>
        </w:rPr>
      </w:r>
    </w:p>
    <w:p>
      <w:pPr>
        <w:pStyle w:val="para1"/>
        <w:ind w:left="0" w:firstLine="567"/>
        <w:spacing/>
        <w:jc w:val="left"/>
        <w:rPr>
          <w:b w:val="0"/>
          <w:bCs w:val="0"/>
          <w:sz w:val="24"/>
          <w:szCs w:val="24"/>
        </w:rPr>
      </w:pPr>
      <w:r>
        <w:rPr>
          <w:b w:val="0"/>
          <w:bCs w:val="0"/>
          <w:sz w:val="24"/>
          <w:szCs w:val="24"/>
        </w:rPr>
        <w:t>3. Аттестациялық ведомостқа қорытында баға тест аяқталғаннан кейін автоматты түрде</w:t>
      </w:r>
      <w:r>
        <w:rPr>
          <w:b w:val="0"/>
          <w:bCs w:val="0"/>
          <w:spacing w:val="6" w:percent="106"/>
          <w:sz w:val="24"/>
          <w:szCs w:val="24"/>
        </w:rPr>
        <w:t xml:space="preserve"> </w:t>
      </w:r>
      <w:r>
        <w:rPr>
          <w:b w:val="0"/>
          <w:bCs w:val="0"/>
          <w:sz w:val="24"/>
          <w:szCs w:val="24"/>
        </w:rPr>
        <w:t>түседі:</w:t>
      </w:r>
    </w:p>
    <w:p>
      <w:pPr>
        <w:pStyle w:val="para3"/>
        <w:ind w:left="0" w:right="107" w:firstLine="850"/>
        <w:tabs defTabSz="720">
          <w:tab w:val="left" w:pos="1042" w:leader="none"/>
        </w:tabs>
        <w:rPr>
          <w:sz w:val="24"/>
          <w:szCs w:val="24"/>
        </w:rPr>
      </w:pPr>
      <w:r>
        <w:rPr>
          <w:bCs/>
          <w:sz w:val="24"/>
          <w:szCs w:val="24"/>
        </w:rPr>
        <w:t xml:space="preserve">Балл қою уақыты - 48 сағатқа дейін. </w:t>
      </w:r>
      <w:r>
        <w:rPr>
          <w:sz w:val="24"/>
          <w:szCs w:val="24"/>
        </w:rPr>
        <w:t>Онлайн прокторинг режимі бойынша тексеру жүргізу барысында балл қою уақыты ұзартылуы</w:t>
      </w:r>
      <w:r>
        <w:rPr>
          <w:spacing w:val="-10" w:percent="90"/>
          <w:sz w:val="24"/>
          <w:szCs w:val="24"/>
        </w:rPr>
        <w:t xml:space="preserve"> </w:t>
      </w:r>
      <w:r>
        <w:rPr>
          <w:sz w:val="24"/>
          <w:szCs w:val="24"/>
        </w:rPr>
        <w:t>мүмкін.</w:t>
      </w:r>
    </w:p>
    <w:p>
      <w:pPr>
        <w:pStyle w:val="para3"/>
        <w:ind w:left="0" w:right="107" w:firstLine="850"/>
        <w:tabs defTabSz="720">
          <w:tab w:val="left" w:pos="1042" w:leader="none"/>
        </w:tabs>
        <w:rPr>
          <w:sz w:val="24"/>
          <w:szCs w:val="24"/>
        </w:rPr>
      </w:pPr>
      <w:r>
        <w:rPr>
          <w:sz w:val="24"/>
          <w:szCs w:val="24"/>
        </w:rPr>
        <w:t xml:space="preserve">4. </w:t>
      </w:r>
      <w:r>
        <w:rPr>
          <w:sz w:val="24"/>
          <w:szCs w:val="24"/>
          <w:lang w:eastAsia="ru-ru"/>
        </w:rPr>
        <w:t>Тестің түрі - көптік таңдау 1,2,3 дұрыс жауаппен</w:t>
      </w:r>
      <w:r>
        <w:rPr>
          <w:sz w:val="24"/>
          <w:szCs w:val="24"/>
        </w:rPr>
        <w:t>.</w:t>
      </w:r>
    </w:p>
    <w:p>
      <w:pPr>
        <w:pStyle w:val="para3"/>
        <w:ind w:left="0" w:right="107" w:firstLine="850"/>
        <w:tabs defTabSz="720">
          <w:tab w:val="left" w:pos="1042" w:leader="none"/>
        </w:tabs>
        <w:rPr>
          <w:sz w:val="24"/>
          <w:szCs w:val="24"/>
        </w:rPr>
      </w:pPr>
      <w:r>
        <w:rPr>
          <w:sz w:val="24"/>
          <w:szCs w:val="24"/>
        </w:rPr>
        <w:t>5. Univer</w:t>
      </w:r>
      <w:r>
        <w:rPr>
          <w:spacing w:val="-13" w:percent="86"/>
          <w:sz w:val="24"/>
          <w:szCs w:val="24"/>
        </w:rPr>
        <w:t xml:space="preserve"> </w:t>
      </w:r>
      <w:r>
        <w:rPr>
          <w:spacing w:val="-3" w:percent="97"/>
          <w:sz w:val="24"/>
          <w:szCs w:val="24"/>
        </w:rPr>
        <w:t>АЖ</w:t>
      </w:r>
      <w:r>
        <w:rPr>
          <w:spacing w:val="-11" w:percent="89"/>
          <w:sz w:val="24"/>
          <w:szCs w:val="24"/>
        </w:rPr>
        <w:t xml:space="preserve"> </w:t>
      </w:r>
      <w:r>
        <w:rPr>
          <w:sz w:val="24"/>
          <w:szCs w:val="24"/>
        </w:rPr>
        <w:t>тест</w:t>
      </w:r>
      <w:r>
        <w:rPr>
          <w:spacing w:val="-18" w:percent="81"/>
          <w:sz w:val="24"/>
          <w:szCs w:val="24"/>
        </w:rPr>
        <w:t xml:space="preserve"> </w:t>
      </w:r>
      <w:r>
        <w:rPr>
          <w:sz w:val="24"/>
          <w:szCs w:val="24"/>
        </w:rPr>
        <w:t>сұрақтарының</w:t>
      </w:r>
      <w:r>
        <w:rPr>
          <w:spacing w:val="-16" w:percent="83"/>
          <w:sz w:val="24"/>
          <w:szCs w:val="24"/>
        </w:rPr>
        <w:t xml:space="preserve"> </w:t>
      </w:r>
      <w:r>
        <w:rPr>
          <w:sz w:val="24"/>
          <w:szCs w:val="24"/>
        </w:rPr>
        <w:t>саны</w:t>
      </w:r>
      <w:r>
        <w:rPr>
          <w:spacing w:val="39" w:percent="141"/>
          <w:sz w:val="24"/>
          <w:szCs w:val="24"/>
        </w:rPr>
        <w:t xml:space="preserve"> </w:t>
      </w:r>
      <w:r>
        <w:rPr>
          <w:sz w:val="24"/>
          <w:szCs w:val="24"/>
        </w:rPr>
        <w:t>–</w:t>
      </w:r>
      <w:r>
        <w:rPr>
          <w:spacing w:val="-11" w:percent="89"/>
          <w:sz w:val="24"/>
          <w:szCs w:val="24"/>
        </w:rPr>
        <w:t xml:space="preserve"> </w:t>
      </w:r>
      <w:r>
        <w:rPr>
          <w:sz w:val="24"/>
          <w:szCs w:val="24"/>
        </w:rPr>
        <w:t>40</w:t>
      </w:r>
      <w:r>
        <w:rPr>
          <w:spacing w:val="-16" w:percent="83"/>
          <w:sz w:val="24"/>
          <w:szCs w:val="24"/>
        </w:rPr>
        <w:t xml:space="preserve"> </w:t>
      </w:r>
      <w:r>
        <w:rPr>
          <w:sz w:val="24"/>
          <w:szCs w:val="24"/>
        </w:rPr>
        <w:t>сұрақтан</w:t>
      </w:r>
      <w:r>
        <w:rPr>
          <w:spacing w:val="-12" w:percent="87"/>
          <w:sz w:val="24"/>
          <w:szCs w:val="24"/>
        </w:rPr>
        <w:t xml:space="preserve"> </w:t>
      </w:r>
      <w:r>
        <w:rPr>
          <w:sz w:val="24"/>
          <w:szCs w:val="24"/>
        </w:rPr>
        <w:t>келеді.</w:t>
      </w:r>
      <w:r>
        <w:rPr>
          <w:spacing w:val="-13" w:percent="86"/>
          <w:sz w:val="24"/>
          <w:szCs w:val="24"/>
        </w:rPr>
        <w:t xml:space="preserve"> </w:t>
      </w:r>
      <w:r>
        <w:rPr>
          <w:sz w:val="24"/>
          <w:szCs w:val="24"/>
        </w:rPr>
        <w:t>1</w:t>
      </w:r>
      <w:r>
        <w:rPr>
          <w:spacing w:val="-16" w:percent="83"/>
          <w:sz w:val="24"/>
          <w:szCs w:val="24"/>
        </w:rPr>
        <w:t xml:space="preserve"> </w:t>
      </w:r>
      <w:r>
        <w:rPr>
          <w:sz w:val="24"/>
          <w:szCs w:val="24"/>
        </w:rPr>
        <w:t>мүмкіндік беріледі. Тестің өту уақыты- 90</w:t>
      </w:r>
      <w:r>
        <w:rPr>
          <w:spacing w:val="6" w:percent="106"/>
          <w:sz w:val="24"/>
          <w:szCs w:val="24"/>
        </w:rPr>
        <w:t xml:space="preserve"> </w:t>
      </w:r>
      <w:r>
        <w:rPr>
          <w:sz w:val="24"/>
          <w:szCs w:val="24"/>
        </w:rPr>
        <w:t>минут.</w:t>
      </w:r>
    </w:p>
    <w:p>
      <w:pPr>
        <w:pStyle w:val="para3"/>
        <w:ind w:left="0" w:right="107" w:firstLine="850"/>
        <w:tabs defTabSz="720">
          <w:tab w:val="left" w:pos="1042" w:leader="none"/>
        </w:tabs>
        <w:rPr>
          <w:sz w:val="24"/>
          <w:szCs w:val="24"/>
        </w:rPr>
      </w:pPr>
      <w:r>
        <w:rPr>
          <w:sz w:val="24"/>
          <w:szCs w:val="24"/>
        </w:rPr>
        <w:t xml:space="preserve">6. Univer </w:t>
      </w:r>
      <w:r>
        <w:rPr>
          <w:spacing w:val="-3" w:percent="97"/>
          <w:sz w:val="24"/>
          <w:szCs w:val="24"/>
        </w:rPr>
        <w:t xml:space="preserve">АЖ </w:t>
      </w:r>
      <w:r>
        <w:rPr>
          <w:sz w:val="24"/>
          <w:szCs w:val="24"/>
        </w:rPr>
        <w:t xml:space="preserve">тест сұрақтары- автоматты түрде генерацияланады. </w:t>
      </w:r>
    </w:p>
    <w:p>
      <w:pPr>
        <w:pStyle w:val="para3"/>
        <w:ind w:left="0" w:right="107" w:firstLine="850"/>
        <w:tabs defTabSz="720">
          <w:tab w:val="left" w:pos="1042" w:leader="none"/>
        </w:tabs>
        <w:rPr>
          <w:sz w:val="24"/>
          <w:szCs w:val="24"/>
        </w:rPr>
      </w:pPr>
      <w:r>
        <w:rPr>
          <w:sz w:val="24"/>
          <w:szCs w:val="24"/>
        </w:rPr>
        <w:t xml:space="preserve">7. Univer </w:t>
      </w:r>
      <w:r>
        <w:rPr>
          <w:spacing w:val="-3" w:percent="97"/>
          <w:sz w:val="24"/>
          <w:szCs w:val="24"/>
        </w:rPr>
        <w:t xml:space="preserve">АЖ </w:t>
      </w:r>
      <w:r>
        <w:rPr>
          <w:sz w:val="24"/>
          <w:szCs w:val="24"/>
        </w:rPr>
        <w:t>тест сұрақтарын дұрыс жауаптың кілттері</w:t>
      </w:r>
      <w:r>
        <w:rPr>
          <w:spacing w:val="49" w:percent="151"/>
          <w:sz w:val="24"/>
          <w:szCs w:val="24"/>
        </w:rPr>
        <w:t xml:space="preserve"> </w:t>
      </w:r>
      <w:r>
        <w:rPr>
          <w:sz w:val="24"/>
          <w:szCs w:val="24"/>
        </w:rPr>
        <w:t>арқылы автоматты түрде тексереді.</w:t>
      </w:r>
    </w:p>
    <w:p>
      <w:pPr>
        <w:pStyle w:val="para3"/>
        <w:ind w:left="0" w:right="107" w:firstLine="850"/>
        <w:tabs defTabSz="720">
          <w:tab w:val="left" w:pos="1042" w:leader="none"/>
        </w:tabs>
        <w:rPr>
          <w:sz w:val="24"/>
          <w:szCs w:val="24"/>
        </w:rPr>
      </w:pPr>
      <w:r>
        <w:rPr>
          <w:sz w:val="24"/>
          <w:szCs w:val="24"/>
        </w:rPr>
        <w:t>8. Студент емтиханға кіруге 30 минут бұрын дайындалуы керек. Ол прокторингтің талабы.</w:t>
      </w:r>
    </w:p>
    <w:p>
      <w:pPr>
        <w:pStyle w:val="para3"/>
        <w:ind w:left="0" w:right="107" w:firstLine="850"/>
        <w:tabs defTabSz="720">
          <w:tab w:val="left" w:pos="1042" w:leader="none"/>
        </w:tabs>
        <w:rPr>
          <w:bCs/>
          <w:sz w:val="24"/>
          <w:szCs w:val="24"/>
        </w:rPr>
      </w:pPr>
      <w:r>
        <w:rPr>
          <w:sz w:val="24"/>
          <w:szCs w:val="24"/>
        </w:rPr>
        <w:t xml:space="preserve">9. Тест қорытындысы прокторинг нәтижесінде қайта қаралуы мүмкін. </w:t>
      </w:r>
      <w:r>
        <w:rPr>
          <w:bCs/>
          <w:sz w:val="24"/>
          <w:szCs w:val="24"/>
        </w:rPr>
        <w:t>Егер студент тестілеуден өту ережелерін бұзса, оның нәтижесі жойылады.</w:t>
      </w:r>
      <w:r>
        <w:rPr>
          <w:bCs/>
          <w:sz w:val="24"/>
          <w:szCs w:val="24"/>
        </w:rPr>
      </w:r>
    </w:p>
    <w:p>
      <w:pPr>
        <w:pStyle w:val="para3"/>
        <w:ind w:left="0" w:right="107" w:firstLine="850"/>
        <w:tabs defTabSz="720">
          <w:tab w:val="left" w:pos="1042" w:leader="none"/>
        </w:tabs>
        <w:rPr>
          <w:sz w:val="24"/>
          <w:szCs w:val="24"/>
        </w:rPr>
      </w:pPr>
      <w:r>
        <w:rPr>
          <w:sz w:val="24"/>
          <w:szCs w:val="24"/>
        </w:rPr>
        <w:t>10. Студент</w:t>
      </w:r>
      <w:r>
        <w:rPr>
          <w:spacing w:val="-20" w:percent="79"/>
          <w:sz w:val="24"/>
          <w:szCs w:val="24"/>
        </w:rPr>
        <w:t xml:space="preserve"> </w:t>
      </w:r>
      <w:r>
        <w:rPr>
          <w:sz w:val="24"/>
          <w:szCs w:val="24"/>
        </w:rPr>
        <w:t>емтиханның</w:t>
      </w:r>
      <w:r>
        <w:rPr>
          <w:spacing w:val="-17" w:percent="82"/>
          <w:sz w:val="24"/>
          <w:szCs w:val="24"/>
        </w:rPr>
        <w:t xml:space="preserve"> </w:t>
      </w:r>
      <w:r>
        <w:rPr>
          <w:sz w:val="24"/>
          <w:szCs w:val="24"/>
        </w:rPr>
        <w:t>өтуіне</w:t>
      </w:r>
      <w:r>
        <w:rPr>
          <w:spacing w:val="-17" w:percent="82"/>
          <w:sz w:val="24"/>
          <w:szCs w:val="24"/>
        </w:rPr>
        <w:t xml:space="preserve"> </w:t>
      </w:r>
      <w:r>
        <w:rPr>
          <w:sz w:val="24"/>
          <w:szCs w:val="24"/>
        </w:rPr>
        <w:t>байланысты</w:t>
      </w:r>
      <w:r>
        <w:rPr>
          <w:spacing w:val="-17" w:percent="82"/>
          <w:sz w:val="24"/>
          <w:szCs w:val="24"/>
        </w:rPr>
        <w:t xml:space="preserve"> </w:t>
      </w:r>
      <w:r>
        <w:rPr>
          <w:sz w:val="24"/>
          <w:szCs w:val="24"/>
        </w:rPr>
        <w:t>қосымша</w:t>
      </w:r>
      <w:r>
        <w:rPr>
          <w:spacing w:val="-16" w:percent="83"/>
          <w:sz w:val="24"/>
          <w:szCs w:val="24"/>
        </w:rPr>
        <w:t xml:space="preserve"> </w:t>
      </w:r>
      <w:r>
        <w:rPr>
          <w:sz w:val="24"/>
          <w:szCs w:val="24"/>
        </w:rPr>
        <w:t>нұсқаулықтар</w:t>
      </w:r>
      <w:r>
        <w:rPr>
          <w:spacing w:val="-18" w:percent="81"/>
          <w:sz w:val="24"/>
          <w:szCs w:val="24"/>
        </w:rPr>
        <w:t xml:space="preserve"> </w:t>
      </w:r>
      <w:r>
        <w:rPr>
          <w:sz w:val="24"/>
          <w:szCs w:val="24"/>
        </w:rPr>
        <w:t>мен ережелерді мына сілтемелер арқылы қарай</w:t>
      </w:r>
      <w:r>
        <w:rPr>
          <w:spacing w:val="-1" w:percent="99"/>
          <w:sz w:val="24"/>
          <w:szCs w:val="24"/>
        </w:rPr>
        <w:t xml:space="preserve"> </w:t>
      </w:r>
      <w:r>
        <w:rPr>
          <w:sz w:val="24"/>
          <w:szCs w:val="24"/>
        </w:rPr>
        <w:t>алады.</w:t>
      </w:r>
    </w:p>
    <w:p>
      <w:pPr>
        <w:pStyle w:val="para3"/>
        <w:ind w:left="0" w:right="118" w:firstLine="567"/>
        <w:tabs defTabSz="720">
          <w:tab w:val="left" w:pos="1114" w:leader="none"/>
        </w:tabs>
        <w:rPr>
          <w:sz w:val="24"/>
          <w:szCs w:val="24"/>
        </w:rPr>
      </w:pPr>
      <w:r>
        <w:rPr>
          <w:b/>
          <w:sz w:val="24"/>
          <w:szCs w:val="24"/>
        </w:rPr>
        <w:t>Бағалау саясаты:</w:t>
      </w:r>
      <w:r>
        <w:rPr>
          <w:sz w:val="24"/>
          <w:szCs w:val="24"/>
        </w:rPr>
      </w:r>
    </w:p>
    <w:p>
      <w:pPr>
        <w:ind w:firstLine="567"/>
        <w:spacing/>
        <w:jc w:val="both"/>
        <w:widowControl/>
        <w:tabs defTabSz="708"/>
        <w:rPr>
          <w:sz w:val="24"/>
          <w:szCs w:val="24"/>
          <w:lang w:eastAsia="ru-ru"/>
        </w:rPr>
      </w:pPr>
      <w:r>
        <w:rPr>
          <w:sz w:val="24"/>
          <w:szCs w:val="24"/>
          <w:lang w:eastAsia="ru-ru"/>
        </w:rPr>
        <w:t>Критериалды бағалау: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pPr>
        <w:ind w:firstLine="709"/>
        <w:spacing/>
        <w:jc w:val="both"/>
        <w:widowControl/>
        <w:tabs defTabSz="708"/>
        <w:rPr>
          <w:sz w:val="24"/>
          <w:szCs w:val="24"/>
          <w:lang w:eastAsia="ru-ru"/>
        </w:rPr>
      </w:pPr>
      <w:r>
        <w:rPr>
          <w:sz w:val="24"/>
          <w:szCs w:val="24"/>
          <w:lang w:eastAsia="ru-ru"/>
        </w:rPr>
        <w:t>Жиынтық бағалау: аудиторияда жұмыс белсенділігін және қатысуын бағалау; орындалған тапсырманы, СӨЖ-ді (жоба / кейс / бағдарлама/...) бағалау. Қорытынды бағаны есептеу формуласы ұсынылады.</w:t>
      </w:r>
    </w:p>
    <w:p>
      <w:pPr>
        <w:ind w:firstLine="709"/>
        <w:spacing/>
        <w:jc w:val="both"/>
        <w:widowControl/>
        <w:tabs defTabSz="708"/>
        <w:rPr>
          <w:sz w:val="24"/>
          <w:szCs w:val="24"/>
          <w:lang w:eastAsia="ru-ru"/>
        </w:rPr>
      </w:pPr>
      <w:r>
        <w:rPr>
          <w:rStyle w:val="char3"/>
          <w:sz w:val="24"/>
          <w:szCs w:val="24"/>
          <w:lang w:eastAsia="ru-ru"/>
        </w:rPr>
        <w:t xml:space="preserve">Пән бойынша қорытынды баға келесі формула бойынша есептеледі: </w:t>
      </w:r>
      <w:r/>
      <w:r>
        <w:rPr>
          <w:noProof/>
          <w:sz w:val="22"/>
        </w:rPr>
        <m:oMath>
          <m:f>
            <m:fPr>
              <m:ctrlPr>
                <w:rPr>
                  <w:rFonts w:ascii="Cambria Math" w:eastAsia="Calibri" w:hAnsi="Cambria Math"/>
                  <w:i/>
                  <w:sz w:val="28"/>
                  <w:szCs w:val="28"/>
                  <w:lang w:eastAsia="en-US"/>
                </w:rPr>
              </m:ctrlPr>
            </m:fPr>
            <m:num>
              <m:r>
                <w:rPr>
                  <w:rFonts w:ascii="Cambria Math" w:hAnsi="Cambria Math"/>
                  <w:sz w:val="28"/>
                  <w:szCs w:val="28"/>
                  <w:lang w:val="kk-KZ"/>
                </w:rPr>
                <m:t>РК1+РК2</m:t>
              </m:r>
            </m:num>
            <m:den>
              <m:r>
                <w:rPr>
                  <w:rFonts w:ascii="Cambria Math" w:eastAsia="Calibri" w:hAnsi="Cambria Math"/>
                  <w:sz w:val="28"/>
                  <w:szCs w:val="28"/>
                  <w:lang w:val="kk-KZ" w:eastAsia="en-US"/>
                </w:rPr>
                <m:t>2</m:t>
              </m:r>
            </m:den>
          </m:f>
          <m:r>
            <w:rPr>
              <w:rFonts w:ascii="Cambria Math" w:hAnsi="Cambria Math"/>
              <w:sz w:val="28"/>
              <w:szCs w:val="28"/>
              <w:lang w:val="kk-KZ"/>
            </w:rPr>
            <m:t>∙0,6+ИК∙0,4</m:t>
          </m:r>
        </m:oMath>
      </w:r>
      <w:r/>
      <w:r>
        <w:rPr>
          <w:rStyle w:val="char3"/>
          <w:sz w:val="24"/>
          <w:szCs w:val="24"/>
          <w:lang w:eastAsia="ru-ru"/>
        </w:rPr>
        <w:t>. Мұнда АБ(РК) – аралық бақылау; ҚБ(ИК) – қорытынды бақылау (емтихан).</w:t>
      </w:r>
      <w:r>
        <w:rPr>
          <w:sz w:val="24"/>
          <w:szCs w:val="24"/>
          <w:lang w:eastAsia="ru-ru"/>
        </w:rPr>
      </w:r>
    </w:p>
    <w:p>
      <w:pPr>
        <w:ind w:firstLine="624"/>
        <w:spacing/>
        <w:jc w:val="both"/>
        <w:rPr>
          <w:sz w:val="24"/>
          <w:szCs w:val="24"/>
        </w:rPr>
      </w:pPr>
      <w:r>
        <w:rPr>
          <w:sz w:val="24"/>
          <w:szCs w:val="24"/>
        </w:rPr>
        <w:t>Бағалау шкаласы силлабуста беріледі:</w:t>
      </w:r>
    </w:p>
    <w:tbl>
      <w:tblPr>
        <w:tblStyle w:val="NormalTable"/>
        <w:name w:val="Таблица2"/>
        <w:tabOrder w:val="0"/>
        <w:jc w:val="center"/>
        <w:tblInd w:w="0" w:type="dxa"/>
        <w:tblW w:w="8499" w:type="dxa"/>
        <w:tblLook w:val="04A0" w:firstRow="1" w:lastRow="0" w:firstColumn="1" w:lastColumn="0" w:noHBand="0" w:noVBand="1"/>
      </w:tblPr>
      <w:tblGrid>
        <w:gridCol w:w="1788"/>
        <w:gridCol w:w="1493"/>
        <w:gridCol w:w="1843"/>
        <w:gridCol w:w="3375"/>
      </w:tblGrid>
      <w:tr>
        <w:trPr>
          <w:tblHeader w:val="0"/>
          <w:cantSplit w:val="0"/>
          <w:trHeight w:val="30" w:hRule="atLeast"/>
        </w:trPr>
        <w:tc>
          <w:tcPr>
            <w:tcW w:w="1788" w:type="dxa"/>
            <w:vAlign w:val="center"/>
            <w:tcMar>
              <w:top w:w="15" w:type="dxa"/>
              <w:left w:w="15" w:type="dxa"/>
              <w:bottom w:w="15" w:type="dxa"/>
              <w:right w:w="15" w:type="dxa"/>
            </w:tcMar>
            <w:tcBorders>
              <w:top w:val="single" w:sz="8" w:space="0" w:color="CFCFCF" tmln="20, 20, 20, 0, 0"/>
              <w:left w:val="single" w:sz="8" w:space="0" w:color="CFCFCF" tmln="20, 20, 20, 0, 0"/>
              <w:bottom w:val="single" w:sz="8" w:space="0" w:color="CFCFCF" tmln="20, 20, 20, 0, 0"/>
              <w:right w:val="single" w:sz="8" w:space="0" w:color="CFCFCF" tmln="20, 20, 20, 0, 0"/>
            </w:tcBorders>
            <w:tmTcPr id="1720151694" protected="0"/>
          </w:tcPr>
          <w:p>
            <w:pPr>
              <w:ind w:left="20"/>
              <w:rPr>
                <w:sz w:val="24"/>
                <w:szCs w:val="24"/>
              </w:rPr>
            </w:pPr>
            <w:r>
              <w:rPr>
                <w:sz w:val="24"/>
                <w:szCs w:val="24"/>
              </w:rPr>
              <w:t>Әріптік жүйе бойынша баға</w:t>
            </w:r>
          </w:p>
        </w:tc>
        <w:tc>
          <w:tcPr>
            <w:tcW w:w="1493" w:type="dxa"/>
            <w:vAlign w:val="center"/>
            <w:tcMar>
              <w:top w:w="15" w:type="dxa"/>
              <w:left w:w="15" w:type="dxa"/>
              <w:bottom w:w="15" w:type="dxa"/>
              <w:right w:w="15" w:type="dxa"/>
            </w:tcMar>
            <w:tcBorders>
              <w:top w:val="single" w:sz="8" w:space="0" w:color="CFCFCF" tmln="20, 20, 20, 0, 0"/>
              <w:left w:val="nil" w:sz="0" w:space="0" w:color="000000" tmln="20, 20, 20, 0, 0"/>
              <w:bottom w:val="single" w:sz="8" w:space="0" w:color="CFCFCF" tmln="20, 20, 20, 0, 0"/>
              <w:right w:val="single" w:sz="8" w:space="0" w:color="CFCFCF" tmln="20, 20, 20, 0, 0"/>
            </w:tcBorders>
            <w:tmTcPr id="1720151694" protected="0"/>
          </w:tcPr>
          <w:p>
            <w:pPr>
              <w:ind w:left="20"/>
              <w:rPr>
                <w:sz w:val="24"/>
                <w:szCs w:val="24"/>
              </w:rPr>
            </w:pPr>
            <w:r>
              <w:rPr>
                <w:sz w:val="24"/>
                <w:szCs w:val="24"/>
              </w:rPr>
              <w:t>Сандық эквивалент</w:t>
            </w:r>
          </w:p>
        </w:tc>
        <w:tc>
          <w:tcPr>
            <w:tcW w:w="1843" w:type="dxa"/>
            <w:vAlign w:val="center"/>
            <w:tcMar>
              <w:top w:w="15" w:type="dxa"/>
              <w:left w:w="15" w:type="dxa"/>
              <w:bottom w:w="15" w:type="dxa"/>
              <w:right w:w="15" w:type="dxa"/>
            </w:tcMar>
            <w:tcBorders>
              <w:top w:val="single" w:sz="8" w:space="0" w:color="CFCFCF" tmln="20, 20, 20, 0, 0"/>
              <w:left w:val="nil" w:sz="0" w:space="0" w:color="000000" tmln="20, 20, 20, 0, 0"/>
              <w:bottom w:val="single" w:sz="8" w:space="0" w:color="CFCFCF" tmln="20, 20, 20, 0, 0"/>
              <w:right w:val="single" w:sz="8" w:space="0" w:color="CFCFCF" tmln="20, 20, 20, 0, 0"/>
            </w:tcBorders>
            <w:tmTcPr id="1720151694" protected="0"/>
          </w:tcPr>
          <w:p>
            <w:pPr>
              <w:ind w:left="20"/>
              <w:rPr>
                <w:sz w:val="24"/>
                <w:szCs w:val="24"/>
              </w:rPr>
            </w:pPr>
            <w:r>
              <w:rPr>
                <w:sz w:val="24"/>
                <w:szCs w:val="24"/>
              </w:rPr>
              <w:t>Баллдары (%-дық көрсеткіші)</w:t>
            </w:r>
          </w:p>
        </w:tc>
        <w:tc>
          <w:tcPr>
            <w:tcW w:w="3375" w:type="dxa"/>
            <w:vAlign w:val="center"/>
            <w:tcMar>
              <w:top w:w="15" w:type="dxa"/>
              <w:left w:w="15" w:type="dxa"/>
              <w:bottom w:w="15" w:type="dxa"/>
              <w:right w:w="15" w:type="dxa"/>
            </w:tcMar>
            <w:tcBorders>
              <w:top w:val="single" w:sz="8" w:space="0" w:color="CFCFCF" tmln="20, 20, 20, 0, 0"/>
              <w:left w:val="nil" w:sz="0" w:space="0" w:color="000000" tmln="20, 20, 20, 0, 0"/>
              <w:bottom w:val="single" w:sz="8" w:space="0" w:color="CFCFCF" tmln="20, 20, 20, 0, 0"/>
              <w:right w:val="single" w:sz="8" w:space="0" w:color="CFCFCF" tmln="20, 20, 20, 0, 0"/>
            </w:tcBorders>
            <w:tmTcPr id="1720151694" protected="0"/>
          </w:tcPr>
          <w:p>
            <w:pPr>
              <w:ind w:left="20"/>
              <w:rPr>
                <w:sz w:val="24"/>
                <w:szCs w:val="24"/>
              </w:rPr>
            </w:pPr>
            <w:r>
              <w:rPr>
                <w:sz w:val="24"/>
                <w:szCs w:val="24"/>
              </w:rPr>
              <w:t>Дәстүрлі жүйе бойынша баға</w:t>
            </w:r>
          </w:p>
        </w:tc>
      </w:tr>
      <w:tr>
        <w:trPr>
          <w:tblHeader w:val="0"/>
          <w:cantSplit w:val="0"/>
          <w:trHeight w:val="30" w:hRule="atLeast"/>
        </w:trPr>
        <w:tc>
          <w:tcPr>
            <w:tcW w:w="1788" w:type="dxa"/>
            <w:vAlign w:val="center"/>
            <w:tcMar>
              <w:top w:w="15" w:type="dxa"/>
              <w:left w:w="15" w:type="dxa"/>
              <w:bottom w:w="15" w:type="dxa"/>
              <w:right w:w="15" w:type="dxa"/>
            </w:tcMar>
            <w:tcBorders>
              <w:top w:val="nil" w:sz="0" w:space="0" w:color="000000" tmln="20, 20, 20, 0, 0"/>
              <w:left w:val="single" w:sz="8" w:space="0" w:color="CFCFCF" tmln="20, 20, 20, 0, 0"/>
              <w:bottom w:val="single" w:sz="8" w:space="0" w:color="CFCFCF" tmln="20, 20, 20, 0, 0"/>
              <w:right w:val="single" w:sz="8" w:space="0" w:color="CFCFCF" tmln="20, 20, 20, 0, 0"/>
            </w:tcBorders>
            <w:tmTcPr id="1720151694" protected="0"/>
          </w:tcPr>
          <w:p>
            <w:pPr>
              <w:ind w:left="20"/>
              <w:rPr>
                <w:sz w:val="24"/>
                <w:szCs w:val="24"/>
              </w:rPr>
            </w:pPr>
            <w:r>
              <w:rPr>
                <w:sz w:val="24"/>
                <w:szCs w:val="24"/>
              </w:rPr>
              <w:t>А</w:t>
            </w:r>
          </w:p>
        </w:tc>
        <w:tc>
          <w:tcPr>
            <w:tcW w:w="1493" w:type="dxa"/>
            <w:vAlign w:val="center"/>
            <w:tcMar>
              <w:top w:w="15" w:type="dxa"/>
              <w:left w:w="15" w:type="dxa"/>
              <w:bottom w:w="15" w:type="dxa"/>
              <w:right w:w="15"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pPr>
              <w:ind w:left="20"/>
              <w:rPr>
                <w:sz w:val="24"/>
                <w:szCs w:val="24"/>
              </w:rPr>
            </w:pPr>
            <w:r>
              <w:rPr>
                <w:sz w:val="24"/>
                <w:szCs w:val="24"/>
              </w:rPr>
              <w:t>4,0</w:t>
            </w:r>
          </w:p>
        </w:tc>
        <w:tc>
          <w:tcPr>
            <w:tcW w:w="1843" w:type="dxa"/>
            <w:vAlign w:val="center"/>
            <w:tcMar>
              <w:top w:w="15" w:type="dxa"/>
              <w:left w:w="15" w:type="dxa"/>
              <w:bottom w:w="15" w:type="dxa"/>
              <w:right w:w="15"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pPr>
              <w:ind w:left="20"/>
              <w:rPr>
                <w:sz w:val="24"/>
                <w:szCs w:val="24"/>
              </w:rPr>
            </w:pPr>
            <w:r>
              <w:rPr>
                <w:sz w:val="24"/>
                <w:szCs w:val="24"/>
              </w:rPr>
              <w:t>95-100</w:t>
            </w:r>
          </w:p>
        </w:tc>
        <w:tc>
          <w:tcPr>
            <w:tcW w:w="3375" w:type="dxa"/>
            <w:vMerge w:val="restart"/>
            <w:vAlign w:val="center"/>
            <w:tcMar>
              <w:top w:w="15" w:type="dxa"/>
              <w:left w:w="15" w:type="dxa"/>
              <w:bottom w:w="15" w:type="dxa"/>
              <w:right w:w="15"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pPr>
              <w:ind w:left="20"/>
              <w:spacing/>
              <w:jc w:val="both"/>
              <w:rPr>
                <w:sz w:val="24"/>
                <w:szCs w:val="24"/>
              </w:rPr>
            </w:pPr>
            <w:r>
              <w:rPr>
                <w:sz w:val="24"/>
                <w:szCs w:val="24"/>
              </w:rPr>
              <w:t>Өте жақсы</w:t>
            </w:r>
          </w:p>
        </w:tc>
      </w:tr>
      <w:tr>
        <w:trPr>
          <w:tblHeader w:val="0"/>
          <w:cantSplit w:val="0"/>
          <w:trHeight w:val="30" w:hRule="atLeast"/>
        </w:trPr>
        <w:tc>
          <w:tcPr>
            <w:tcW w:w="1788" w:type="dxa"/>
            <w:vAlign w:val="center"/>
            <w:tcMar>
              <w:top w:w="15" w:type="dxa"/>
              <w:left w:w="15" w:type="dxa"/>
              <w:bottom w:w="15" w:type="dxa"/>
              <w:right w:w="15" w:type="dxa"/>
            </w:tcMar>
            <w:tcBorders>
              <w:top w:val="nil" w:sz="0" w:space="0" w:color="000000" tmln="20, 20, 20, 0, 0"/>
              <w:left w:val="single" w:sz="8" w:space="0" w:color="CFCFCF" tmln="20, 20, 20, 0, 0"/>
              <w:bottom w:val="single" w:sz="8" w:space="0" w:color="CFCFCF" tmln="20, 20, 20, 0, 0"/>
              <w:right w:val="single" w:sz="8" w:space="0" w:color="CFCFCF" tmln="20, 20, 20, 0, 0"/>
            </w:tcBorders>
            <w:tmTcPr id="1720151694" protected="0"/>
          </w:tcPr>
          <w:p>
            <w:pPr>
              <w:ind w:left="20"/>
              <w:rPr>
                <w:sz w:val="24"/>
                <w:szCs w:val="24"/>
                <w:lang w:val="en-us"/>
              </w:rPr>
            </w:pPr>
            <w:r>
              <w:rPr>
                <w:sz w:val="24"/>
                <w:szCs w:val="24"/>
                <w:lang w:val="en-us"/>
              </w:rPr>
              <w:t>А-</w:t>
            </w:r>
          </w:p>
        </w:tc>
        <w:tc>
          <w:tcPr>
            <w:tcW w:w="1493" w:type="dxa"/>
            <w:vAlign w:val="center"/>
            <w:tcMar>
              <w:top w:w="15" w:type="dxa"/>
              <w:left w:w="15" w:type="dxa"/>
              <w:bottom w:w="15" w:type="dxa"/>
              <w:right w:w="15"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pPr>
              <w:ind w:left="20"/>
              <w:rPr>
                <w:sz w:val="24"/>
                <w:szCs w:val="24"/>
                <w:lang w:val="en-us"/>
              </w:rPr>
            </w:pPr>
            <w:r>
              <w:rPr>
                <w:sz w:val="24"/>
                <w:szCs w:val="24"/>
                <w:lang w:val="en-us"/>
              </w:rPr>
              <w:t>3,67</w:t>
            </w:r>
          </w:p>
        </w:tc>
        <w:tc>
          <w:tcPr>
            <w:tcW w:w="1843" w:type="dxa"/>
            <w:vAlign w:val="center"/>
            <w:tcMar>
              <w:top w:w="15" w:type="dxa"/>
              <w:left w:w="15" w:type="dxa"/>
              <w:bottom w:w="15" w:type="dxa"/>
              <w:right w:w="15"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pPr>
              <w:ind w:left="20"/>
              <w:rPr>
                <w:sz w:val="24"/>
                <w:szCs w:val="24"/>
                <w:lang w:val="en-us"/>
              </w:rPr>
            </w:pPr>
            <w:r>
              <w:rPr>
                <w:sz w:val="24"/>
                <w:szCs w:val="24"/>
                <w:lang w:val="en-us"/>
              </w:rPr>
              <w:t>90-94</w:t>
            </w:r>
          </w:p>
        </w:tc>
        <w:tc>
          <w:tcPr>
            <w:tcW w:w="3375" w:type="dxa"/>
            <w:vMerge/>
            <w:vAlign w:val="center"/>
            <w:tcMar>
              <w:left w:w="0" w:type="dxa"/>
              <w:right w:w="0"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tc>
      </w:tr>
      <w:tr>
        <w:trPr>
          <w:tblHeader w:val="0"/>
          <w:cantSplit w:val="0"/>
          <w:trHeight w:val="30" w:hRule="atLeast"/>
        </w:trPr>
        <w:tc>
          <w:tcPr>
            <w:tcW w:w="1788" w:type="dxa"/>
            <w:vAlign w:val="center"/>
            <w:tcMar>
              <w:top w:w="15" w:type="dxa"/>
              <w:left w:w="15" w:type="dxa"/>
              <w:bottom w:w="15" w:type="dxa"/>
              <w:right w:w="15" w:type="dxa"/>
            </w:tcMar>
            <w:tcBorders>
              <w:top w:val="nil" w:sz="0" w:space="0" w:color="000000" tmln="20, 20, 20, 0, 0"/>
              <w:left w:val="single" w:sz="8" w:space="0" w:color="CFCFCF" tmln="20, 20, 20, 0, 0"/>
              <w:bottom w:val="single" w:sz="8" w:space="0" w:color="CFCFCF" tmln="20, 20, 20, 0, 0"/>
              <w:right w:val="single" w:sz="8" w:space="0" w:color="CFCFCF" tmln="20, 20, 20, 0, 0"/>
            </w:tcBorders>
            <w:tmTcPr id="1720151694" protected="0"/>
          </w:tcPr>
          <w:p>
            <w:pPr>
              <w:ind w:left="20"/>
              <w:rPr>
                <w:sz w:val="24"/>
                <w:szCs w:val="24"/>
                <w:lang w:val="en-us"/>
              </w:rPr>
            </w:pPr>
            <w:r>
              <w:rPr>
                <w:sz w:val="24"/>
                <w:szCs w:val="24"/>
                <w:lang w:val="en-us"/>
              </w:rPr>
              <w:t>В+</w:t>
            </w:r>
          </w:p>
        </w:tc>
        <w:tc>
          <w:tcPr>
            <w:tcW w:w="1493" w:type="dxa"/>
            <w:vAlign w:val="center"/>
            <w:tcMar>
              <w:top w:w="15" w:type="dxa"/>
              <w:left w:w="15" w:type="dxa"/>
              <w:bottom w:w="15" w:type="dxa"/>
              <w:right w:w="15"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pPr>
              <w:ind w:left="20"/>
              <w:rPr>
                <w:sz w:val="24"/>
                <w:szCs w:val="24"/>
                <w:lang w:val="en-us"/>
              </w:rPr>
            </w:pPr>
            <w:r>
              <w:rPr>
                <w:sz w:val="24"/>
                <w:szCs w:val="24"/>
                <w:lang w:val="en-us"/>
              </w:rPr>
              <w:t>3,33</w:t>
            </w:r>
          </w:p>
        </w:tc>
        <w:tc>
          <w:tcPr>
            <w:tcW w:w="1843" w:type="dxa"/>
            <w:vAlign w:val="center"/>
            <w:tcMar>
              <w:top w:w="15" w:type="dxa"/>
              <w:left w:w="15" w:type="dxa"/>
              <w:bottom w:w="15" w:type="dxa"/>
              <w:right w:w="15"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pPr>
              <w:ind w:left="20"/>
              <w:rPr>
                <w:sz w:val="24"/>
                <w:szCs w:val="24"/>
                <w:lang w:val="en-us"/>
              </w:rPr>
            </w:pPr>
            <w:r>
              <w:rPr>
                <w:sz w:val="24"/>
                <w:szCs w:val="24"/>
                <w:lang w:val="en-us"/>
              </w:rPr>
              <w:t>85-89</w:t>
            </w:r>
          </w:p>
        </w:tc>
        <w:tc>
          <w:tcPr>
            <w:tcW w:w="3375" w:type="dxa"/>
            <w:vMerge w:val="restart"/>
            <w:vAlign w:val="center"/>
            <w:tcMar>
              <w:top w:w="15" w:type="dxa"/>
              <w:left w:w="15" w:type="dxa"/>
              <w:bottom w:w="15" w:type="dxa"/>
              <w:right w:w="15"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pPr>
              <w:ind w:left="20"/>
              <w:spacing/>
              <w:jc w:val="both"/>
              <w:rPr>
                <w:sz w:val="24"/>
                <w:szCs w:val="24"/>
              </w:rPr>
            </w:pPr>
            <w:r>
              <w:rPr>
                <w:sz w:val="24"/>
                <w:szCs w:val="24"/>
              </w:rPr>
              <w:t>Жақсы</w:t>
            </w:r>
          </w:p>
        </w:tc>
      </w:tr>
      <w:tr>
        <w:trPr>
          <w:tblHeader w:val="0"/>
          <w:cantSplit w:val="0"/>
          <w:trHeight w:val="30" w:hRule="atLeast"/>
        </w:trPr>
        <w:tc>
          <w:tcPr>
            <w:tcW w:w="1788" w:type="dxa"/>
            <w:vAlign w:val="center"/>
            <w:tcMar>
              <w:top w:w="15" w:type="dxa"/>
              <w:left w:w="15" w:type="dxa"/>
              <w:bottom w:w="15" w:type="dxa"/>
              <w:right w:w="15" w:type="dxa"/>
            </w:tcMar>
            <w:tcBorders>
              <w:top w:val="nil" w:sz="0" w:space="0" w:color="000000" tmln="20, 20, 20, 0, 0"/>
              <w:left w:val="single" w:sz="8" w:space="0" w:color="CFCFCF" tmln="20, 20, 20, 0, 0"/>
              <w:bottom w:val="single" w:sz="8" w:space="0" w:color="CFCFCF" tmln="20, 20, 20, 0, 0"/>
              <w:right w:val="single" w:sz="8" w:space="0" w:color="CFCFCF" tmln="20, 20, 20, 0, 0"/>
            </w:tcBorders>
            <w:tmTcPr id="1720151694" protected="0"/>
          </w:tcPr>
          <w:p>
            <w:pPr>
              <w:ind w:left="20"/>
              <w:rPr>
                <w:sz w:val="24"/>
                <w:szCs w:val="24"/>
                <w:lang w:val="en-us"/>
              </w:rPr>
            </w:pPr>
            <w:r>
              <w:rPr>
                <w:sz w:val="24"/>
                <w:szCs w:val="24"/>
                <w:lang w:val="en-us"/>
              </w:rPr>
              <w:t>В</w:t>
            </w:r>
          </w:p>
        </w:tc>
        <w:tc>
          <w:tcPr>
            <w:tcW w:w="1493" w:type="dxa"/>
            <w:vAlign w:val="center"/>
            <w:tcMar>
              <w:top w:w="15" w:type="dxa"/>
              <w:left w:w="15" w:type="dxa"/>
              <w:bottom w:w="15" w:type="dxa"/>
              <w:right w:w="15"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pPr>
              <w:ind w:left="20"/>
              <w:rPr>
                <w:sz w:val="24"/>
                <w:szCs w:val="24"/>
                <w:lang w:val="en-us"/>
              </w:rPr>
            </w:pPr>
            <w:r>
              <w:rPr>
                <w:sz w:val="24"/>
                <w:szCs w:val="24"/>
                <w:lang w:val="en-us"/>
              </w:rPr>
              <w:t>3,0</w:t>
            </w:r>
          </w:p>
        </w:tc>
        <w:tc>
          <w:tcPr>
            <w:tcW w:w="1843" w:type="dxa"/>
            <w:vAlign w:val="center"/>
            <w:tcMar>
              <w:top w:w="15" w:type="dxa"/>
              <w:left w:w="15" w:type="dxa"/>
              <w:bottom w:w="15" w:type="dxa"/>
              <w:right w:w="15"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pPr>
              <w:ind w:left="20"/>
              <w:rPr>
                <w:sz w:val="24"/>
                <w:szCs w:val="24"/>
                <w:lang w:val="en-us"/>
              </w:rPr>
            </w:pPr>
            <w:r>
              <w:rPr>
                <w:sz w:val="24"/>
                <w:szCs w:val="24"/>
                <w:lang w:val="en-us"/>
              </w:rPr>
              <w:t>80-84</w:t>
            </w:r>
          </w:p>
        </w:tc>
        <w:tc>
          <w:tcPr>
            <w:tcW w:w="3375" w:type="dxa"/>
            <w:vMerge/>
            <w:vAlign w:val="center"/>
            <w:tcMar>
              <w:left w:w="0" w:type="dxa"/>
              <w:right w:w="0"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tc>
      </w:tr>
      <w:tr>
        <w:trPr>
          <w:tblHeader w:val="0"/>
          <w:cantSplit w:val="0"/>
          <w:trHeight w:val="30" w:hRule="atLeast"/>
        </w:trPr>
        <w:tc>
          <w:tcPr>
            <w:tcW w:w="1788" w:type="dxa"/>
            <w:vAlign w:val="center"/>
            <w:tcMar>
              <w:top w:w="15" w:type="dxa"/>
              <w:left w:w="15" w:type="dxa"/>
              <w:bottom w:w="15" w:type="dxa"/>
              <w:right w:w="15" w:type="dxa"/>
            </w:tcMar>
            <w:tcBorders>
              <w:top w:val="nil" w:sz="0" w:space="0" w:color="000000" tmln="20, 20, 20, 0, 0"/>
              <w:left w:val="single" w:sz="8" w:space="0" w:color="CFCFCF" tmln="20, 20, 20, 0, 0"/>
              <w:bottom w:val="single" w:sz="8" w:space="0" w:color="CFCFCF" tmln="20, 20, 20, 0, 0"/>
              <w:right w:val="single" w:sz="8" w:space="0" w:color="CFCFCF" tmln="20, 20, 20, 0, 0"/>
            </w:tcBorders>
            <w:tmTcPr id="1720151694" protected="0"/>
          </w:tcPr>
          <w:p>
            <w:pPr>
              <w:ind w:left="20"/>
              <w:rPr>
                <w:sz w:val="24"/>
                <w:szCs w:val="24"/>
                <w:lang w:val="en-us"/>
              </w:rPr>
            </w:pPr>
            <w:r>
              <w:rPr>
                <w:sz w:val="24"/>
                <w:szCs w:val="24"/>
                <w:lang w:val="en-us"/>
              </w:rPr>
              <w:t>В-</w:t>
            </w:r>
          </w:p>
        </w:tc>
        <w:tc>
          <w:tcPr>
            <w:tcW w:w="1493" w:type="dxa"/>
            <w:vAlign w:val="center"/>
            <w:tcMar>
              <w:top w:w="15" w:type="dxa"/>
              <w:left w:w="15" w:type="dxa"/>
              <w:bottom w:w="15" w:type="dxa"/>
              <w:right w:w="15"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pPr>
              <w:ind w:left="20"/>
              <w:rPr>
                <w:sz w:val="24"/>
                <w:szCs w:val="24"/>
                <w:lang w:val="en-us"/>
              </w:rPr>
            </w:pPr>
            <w:r>
              <w:rPr>
                <w:sz w:val="24"/>
                <w:szCs w:val="24"/>
                <w:lang w:val="en-us"/>
              </w:rPr>
              <w:t>2,67</w:t>
            </w:r>
          </w:p>
        </w:tc>
        <w:tc>
          <w:tcPr>
            <w:tcW w:w="1843" w:type="dxa"/>
            <w:vAlign w:val="center"/>
            <w:tcMar>
              <w:top w:w="15" w:type="dxa"/>
              <w:left w:w="15" w:type="dxa"/>
              <w:bottom w:w="15" w:type="dxa"/>
              <w:right w:w="15"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pPr>
              <w:ind w:left="20"/>
              <w:rPr>
                <w:sz w:val="24"/>
                <w:szCs w:val="24"/>
                <w:lang w:val="en-us"/>
              </w:rPr>
            </w:pPr>
            <w:r>
              <w:rPr>
                <w:sz w:val="24"/>
                <w:szCs w:val="24"/>
                <w:lang w:val="en-us"/>
              </w:rPr>
              <w:t>75-79</w:t>
            </w:r>
          </w:p>
        </w:tc>
        <w:tc>
          <w:tcPr>
            <w:tcW w:w="3375" w:type="dxa"/>
            <w:vMerge/>
            <w:vAlign w:val="center"/>
            <w:tcMar>
              <w:left w:w="0" w:type="dxa"/>
              <w:right w:w="0"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tc>
      </w:tr>
      <w:tr>
        <w:trPr>
          <w:tblHeader w:val="0"/>
          <w:cantSplit w:val="0"/>
          <w:trHeight w:val="30" w:hRule="atLeast"/>
        </w:trPr>
        <w:tc>
          <w:tcPr>
            <w:tcW w:w="1788" w:type="dxa"/>
            <w:vAlign w:val="center"/>
            <w:tcMar>
              <w:top w:w="15" w:type="dxa"/>
              <w:left w:w="15" w:type="dxa"/>
              <w:bottom w:w="15" w:type="dxa"/>
              <w:right w:w="15" w:type="dxa"/>
            </w:tcMar>
            <w:tcBorders>
              <w:top w:val="nil" w:sz="0" w:space="0" w:color="000000" tmln="20, 20, 20, 0, 0"/>
              <w:left w:val="single" w:sz="8" w:space="0" w:color="CFCFCF" tmln="20, 20, 20, 0, 0"/>
              <w:bottom w:val="single" w:sz="8" w:space="0" w:color="CFCFCF" tmln="20, 20, 20, 0, 0"/>
              <w:right w:val="single" w:sz="8" w:space="0" w:color="CFCFCF" tmln="20, 20, 20, 0, 0"/>
            </w:tcBorders>
            <w:tmTcPr id="1720151694" protected="0"/>
          </w:tcPr>
          <w:p>
            <w:pPr>
              <w:ind w:left="20"/>
              <w:rPr>
                <w:sz w:val="24"/>
                <w:szCs w:val="24"/>
                <w:lang w:val="en-us"/>
              </w:rPr>
            </w:pPr>
            <w:r>
              <w:rPr>
                <w:sz w:val="24"/>
                <w:szCs w:val="24"/>
                <w:lang w:val="en-us"/>
              </w:rPr>
              <w:t>С+</w:t>
            </w:r>
          </w:p>
        </w:tc>
        <w:tc>
          <w:tcPr>
            <w:tcW w:w="1493" w:type="dxa"/>
            <w:vAlign w:val="center"/>
            <w:tcMar>
              <w:top w:w="15" w:type="dxa"/>
              <w:left w:w="15" w:type="dxa"/>
              <w:bottom w:w="15" w:type="dxa"/>
              <w:right w:w="15"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pPr>
              <w:ind w:left="20"/>
              <w:rPr>
                <w:sz w:val="24"/>
                <w:szCs w:val="24"/>
                <w:lang w:val="en-us"/>
              </w:rPr>
            </w:pPr>
            <w:r>
              <w:rPr>
                <w:sz w:val="24"/>
                <w:szCs w:val="24"/>
                <w:lang w:val="en-us"/>
              </w:rPr>
              <w:t>2,33</w:t>
            </w:r>
          </w:p>
        </w:tc>
        <w:tc>
          <w:tcPr>
            <w:tcW w:w="1843" w:type="dxa"/>
            <w:vAlign w:val="center"/>
            <w:tcMar>
              <w:top w:w="15" w:type="dxa"/>
              <w:left w:w="15" w:type="dxa"/>
              <w:bottom w:w="15" w:type="dxa"/>
              <w:right w:w="15"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pPr>
              <w:ind w:left="20"/>
              <w:rPr>
                <w:sz w:val="24"/>
                <w:szCs w:val="24"/>
                <w:lang w:val="en-us"/>
              </w:rPr>
            </w:pPr>
            <w:r>
              <w:rPr>
                <w:sz w:val="24"/>
                <w:szCs w:val="24"/>
                <w:lang w:val="en-us"/>
              </w:rPr>
              <w:t>70-74</w:t>
            </w:r>
          </w:p>
        </w:tc>
        <w:tc>
          <w:tcPr>
            <w:tcW w:w="3375" w:type="dxa"/>
            <w:vMerge/>
            <w:vAlign w:val="center"/>
            <w:tcMar>
              <w:left w:w="0" w:type="dxa"/>
              <w:right w:w="0"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tc>
      </w:tr>
      <w:tr>
        <w:trPr>
          <w:tblHeader w:val="0"/>
          <w:cantSplit w:val="0"/>
          <w:trHeight w:val="30" w:hRule="atLeast"/>
        </w:trPr>
        <w:tc>
          <w:tcPr>
            <w:tcW w:w="1788" w:type="dxa"/>
            <w:vAlign w:val="center"/>
            <w:tcMar>
              <w:top w:w="15" w:type="dxa"/>
              <w:left w:w="15" w:type="dxa"/>
              <w:bottom w:w="15" w:type="dxa"/>
              <w:right w:w="15" w:type="dxa"/>
            </w:tcMar>
            <w:tcBorders>
              <w:top w:val="nil" w:sz="0" w:space="0" w:color="000000" tmln="20, 20, 20, 0, 0"/>
              <w:left w:val="single" w:sz="8" w:space="0" w:color="CFCFCF" tmln="20, 20, 20, 0, 0"/>
              <w:bottom w:val="single" w:sz="8" w:space="0" w:color="CFCFCF" tmln="20, 20, 20, 0, 0"/>
              <w:right w:val="single" w:sz="8" w:space="0" w:color="CFCFCF" tmln="20, 20, 20, 0, 0"/>
            </w:tcBorders>
            <w:tmTcPr id="1720151694" protected="0"/>
          </w:tcPr>
          <w:p>
            <w:pPr>
              <w:ind w:left="20"/>
              <w:rPr>
                <w:sz w:val="24"/>
                <w:szCs w:val="24"/>
                <w:lang w:val="en-us"/>
              </w:rPr>
            </w:pPr>
            <w:r>
              <w:rPr>
                <w:sz w:val="24"/>
                <w:szCs w:val="24"/>
                <w:lang w:val="en-us"/>
              </w:rPr>
              <w:t>С</w:t>
            </w:r>
          </w:p>
        </w:tc>
        <w:tc>
          <w:tcPr>
            <w:tcW w:w="1493" w:type="dxa"/>
            <w:vAlign w:val="center"/>
            <w:tcMar>
              <w:top w:w="15" w:type="dxa"/>
              <w:left w:w="15" w:type="dxa"/>
              <w:bottom w:w="15" w:type="dxa"/>
              <w:right w:w="15"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pPr>
              <w:ind w:left="20"/>
              <w:rPr>
                <w:sz w:val="24"/>
                <w:szCs w:val="24"/>
                <w:lang w:val="en-us"/>
              </w:rPr>
            </w:pPr>
            <w:r>
              <w:rPr>
                <w:sz w:val="24"/>
                <w:szCs w:val="24"/>
                <w:lang w:val="en-us"/>
              </w:rPr>
              <w:t>2,0</w:t>
            </w:r>
          </w:p>
        </w:tc>
        <w:tc>
          <w:tcPr>
            <w:tcW w:w="1843" w:type="dxa"/>
            <w:vAlign w:val="center"/>
            <w:tcMar>
              <w:top w:w="15" w:type="dxa"/>
              <w:left w:w="15" w:type="dxa"/>
              <w:bottom w:w="15" w:type="dxa"/>
              <w:right w:w="15"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pPr>
              <w:ind w:left="20"/>
              <w:rPr>
                <w:sz w:val="24"/>
                <w:szCs w:val="24"/>
                <w:lang w:val="en-us"/>
              </w:rPr>
            </w:pPr>
            <w:r>
              <w:rPr>
                <w:sz w:val="24"/>
                <w:szCs w:val="24"/>
                <w:lang w:val="en-us"/>
              </w:rPr>
              <w:t>65-69</w:t>
            </w:r>
          </w:p>
        </w:tc>
        <w:tc>
          <w:tcPr>
            <w:tcW w:w="3375" w:type="dxa"/>
            <w:vMerge w:val="restart"/>
            <w:vAlign w:val="center"/>
            <w:tcMar>
              <w:top w:w="15" w:type="dxa"/>
              <w:left w:w="15" w:type="dxa"/>
              <w:bottom w:w="15" w:type="dxa"/>
              <w:right w:w="15"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pPr>
              <w:ind w:left="20"/>
              <w:spacing/>
              <w:jc w:val="both"/>
              <w:rPr>
                <w:sz w:val="24"/>
                <w:szCs w:val="24"/>
              </w:rPr>
            </w:pPr>
            <w:r>
              <w:rPr>
                <w:sz w:val="24"/>
                <w:szCs w:val="24"/>
              </w:rPr>
              <w:t>Қанағаттанарлық</w:t>
            </w:r>
          </w:p>
        </w:tc>
      </w:tr>
      <w:tr>
        <w:trPr>
          <w:tblHeader w:val="0"/>
          <w:cantSplit w:val="0"/>
          <w:trHeight w:val="30" w:hRule="atLeast"/>
        </w:trPr>
        <w:tc>
          <w:tcPr>
            <w:tcW w:w="1788" w:type="dxa"/>
            <w:vAlign w:val="center"/>
            <w:tcMar>
              <w:top w:w="15" w:type="dxa"/>
              <w:left w:w="15" w:type="dxa"/>
              <w:bottom w:w="15" w:type="dxa"/>
              <w:right w:w="15" w:type="dxa"/>
            </w:tcMar>
            <w:tcBorders>
              <w:top w:val="nil" w:sz="0" w:space="0" w:color="000000" tmln="20, 20, 20, 0, 0"/>
              <w:left w:val="single" w:sz="8" w:space="0" w:color="CFCFCF" tmln="20, 20, 20, 0, 0"/>
              <w:bottom w:val="single" w:sz="8" w:space="0" w:color="CFCFCF" tmln="20, 20, 20, 0, 0"/>
              <w:right w:val="single" w:sz="8" w:space="0" w:color="CFCFCF" tmln="20, 20, 20, 0, 0"/>
            </w:tcBorders>
            <w:tmTcPr id="1720151694" protected="0"/>
          </w:tcPr>
          <w:p>
            <w:pPr>
              <w:ind w:left="20"/>
              <w:rPr>
                <w:sz w:val="24"/>
                <w:szCs w:val="24"/>
                <w:lang w:val="en-us"/>
              </w:rPr>
            </w:pPr>
            <w:r>
              <w:rPr>
                <w:sz w:val="24"/>
                <w:szCs w:val="24"/>
                <w:lang w:val="en-us"/>
              </w:rPr>
              <w:t>С-</w:t>
            </w:r>
          </w:p>
        </w:tc>
        <w:tc>
          <w:tcPr>
            <w:tcW w:w="1493" w:type="dxa"/>
            <w:vAlign w:val="center"/>
            <w:tcMar>
              <w:top w:w="15" w:type="dxa"/>
              <w:left w:w="15" w:type="dxa"/>
              <w:bottom w:w="15" w:type="dxa"/>
              <w:right w:w="15"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pPr>
              <w:ind w:left="20"/>
              <w:rPr>
                <w:sz w:val="24"/>
                <w:szCs w:val="24"/>
                <w:lang w:val="en-us"/>
              </w:rPr>
            </w:pPr>
            <w:r>
              <w:rPr>
                <w:sz w:val="24"/>
                <w:szCs w:val="24"/>
                <w:lang w:val="en-us"/>
              </w:rPr>
              <w:t>1,67</w:t>
            </w:r>
          </w:p>
        </w:tc>
        <w:tc>
          <w:tcPr>
            <w:tcW w:w="1843" w:type="dxa"/>
            <w:vAlign w:val="center"/>
            <w:tcMar>
              <w:top w:w="15" w:type="dxa"/>
              <w:left w:w="15" w:type="dxa"/>
              <w:bottom w:w="15" w:type="dxa"/>
              <w:right w:w="15"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pPr>
              <w:ind w:left="20"/>
              <w:rPr>
                <w:sz w:val="24"/>
                <w:szCs w:val="24"/>
                <w:lang w:val="en-us"/>
              </w:rPr>
            </w:pPr>
            <w:r>
              <w:rPr>
                <w:sz w:val="24"/>
                <w:szCs w:val="24"/>
                <w:lang w:val="en-us"/>
              </w:rPr>
              <w:t>60-64</w:t>
            </w:r>
          </w:p>
        </w:tc>
        <w:tc>
          <w:tcPr>
            <w:tcW w:w="3375" w:type="dxa"/>
            <w:vMerge/>
            <w:vAlign w:val="center"/>
            <w:tcMar>
              <w:left w:w="0" w:type="dxa"/>
              <w:right w:w="0"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tc>
      </w:tr>
      <w:tr>
        <w:trPr>
          <w:tblHeader w:val="0"/>
          <w:cantSplit w:val="0"/>
          <w:trHeight w:val="30" w:hRule="atLeast"/>
        </w:trPr>
        <w:tc>
          <w:tcPr>
            <w:tcW w:w="1788" w:type="dxa"/>
            <w:vAlign w:val="center"/>
            <w:tcMar>
              <w:top w:w="15" w:type="dxa"/>
              <w:left w:w="15" w:type="dxa"/>
              <w:bottom w:w="15" w:type="dxa"/>
              <w:right w:w="15" w:type="dxa"/>
            </w:tcMar>
            <w:tcBorders>
              <w:top w:val="nil" w:sz="0" w:space="0" w:color="000000" tmln="20, 20, 20, 0, 0"/>
              <w:left w:val="single" w:sz="8" w:space="0" w:color="CFCFCF" tmln="20, 20, 20, 0, 0"/>
              <w:bottom w:val="single" w:sz="8" w:space="0" w:color="CFCFCF" tmln="20, 20, 20, 0, 0"/>
              <w:right w:val="single" w:sz="8" w:space="0" w:color="CFCFCF" tmln="20, 20, 20, 0, 0"/>
            </w:tcBorders>
            <w:tmTcPr id="1720151694" protected="0"/>
          </w:tcPr>
          <w:p>
            <w:pPr>
              <w:ind w:left="20"/>
              <w:rPr>
                <w:sz w:val="24"/>
                <w:szCs w:val="24"/>
                <w:lang w:val="en-us"/>
              </w:rPr>
            </w:pPr>
            <w:r>
              <w:rPr>
                <w:sz w:val="24"/>
                <w:szCs w:val="24"/>
                <w:lang w:val="en-us"/>
              </w:rPr>
              <w:t>D+</w:t>
            </w:r>
          </w:p>
        </w:tc>
        <w:tc>
          <w:tcPr>
            <w:tcW w:w="1493" w:type="dxa"/>
            <w:vAlign w:val="center"/>
            <w:tcMar>
              <w:top w:w="15" w:type="dxa"/>
              <w:left w:w="15" w:type="dxa"/>
              <w:bottom w:w="15" w:type="dxa"/>
              <w:right w:w="15"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pPr>
              <w:ind w:left="20"/>
              <w:rPr>
                <w:sz w:val="24"/>
                <w:szCs w:val="24"/>
                <w:lang w:val="en-us"/>
              </w:rPr>
            </w:pPr>
            <w:r>
              <w:rPr>
                <w:sz w:val="24"/>
                <w:szCs w:val="24"/>
                <w:lang w:val="en-us"/>
              </w:rPr>
              <w:t>1,33</w:t>
            </w:r>
          </w:p>
        </w:tc>
        <w:tc>
          <w:tcPr>
            <w:tcW w:w="1843" w:type="dxa"/>
            <w:vAlign w:val="center"/>
            <w:tcMar>
              <w:top w:w="15" w:type="dxa"/>
              <w:left w:w="15" w:type="dxa"/>
              <w:bottom w:w="15" w:type="dxa"/>
              <w:right w:w="15"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pPr>
              <w:ind w:left="20"/>
              <w:rPr>
                <w:sz w:val="24"/>
                <w:szCs w:val="24"/>
                <w:lang w:val="en-us"/>
              </w:rPr>
            </w:pPr>
            <w:r>
              <w:rPr>
                <w:sz w:val="24"/>
                <w:szCs w:val="24"/>
                <w:lang w:val="en-us"/>
              </w:rPr>
              <w:t>55-59</w:t>
            </w:r>
          </w:p>
        </w:tc>
        <w:tc>
          <w:tcPr>
            <w:tcW w:w="3375" w:type="dxa"/>
            <w:vMerge/>
            <w:vAlign w:val="center"/>
            <w:tcMar>
              <w:left w:w="0" w:type="dxa"/>
              <w:right w:w="0"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tc>
      </w:tr>
      <w:tr>
        <w:trPr>
          <w:tblHeader w:val="0"/>
          <w:cantSplit w:val="0"/>
          <w:trHeight w:val="30" w:hRule="atLeast"/>
        </w:trPr>
        <w:tc>
          <w:tcPr>
            <w:tcW w:w="1788" w:type="dxa"/>
            <w:vAlign w:val="center"/>
            <w:tcMar>
              <w:top w:w="15" w:type="dxa"/>
              <w:left w:w="15" w:type="dxa"/>
              <w:bottom w:w="15" w:type="dxa"/>
              <w:right w:w="15" w:type="dxa"/>
            </w:tcMar>
            <w:tcBorders>
              <w:top w:val="nil" w:sz="0" w:space="0" w:color="000000" tmln="20, 20, 20, 0, 0"/>
              <w:left w:val="single" w:sz="8" w:space="0" w:color="CFCFCF" tmln="20, 20, 20, 0, 0"/>
              <w:bottom w:val="single" w:sz="8" w:space="0" w:color="CFCFCF" tmln="20, 20, 20, 0, 0"/>
              <w:right w:val="single" w:sz="8" w:space="0" w:color="CFCFCF" tmln="20, 20, 20, 0, 0"/>
            </w:tcBorders>
            <w:tmTcPr id="1720151694" protected="0"/>
          </w:tcPr>
          <w:p>
            <w:pPr>
              <w:ind w:left="20"/>
              <w:rPr>
                <w:sz w:val="24"/>
                <w:szCs w:val="24"/>
                <w:lang w:val="en-us"/>
              </w:rPr>
            </w:pPr>
            <w:r>
              <w:rPr>
                <w:sz w:val="24"/>
                <w:szCs w:val="24"/>
                <w:lang w:val="en-us"/>
              </w:rPr>
              <w:t>D-</w:t>
            </w:r>
          </w:p>
        </w:tc>
        <w:tc>
          <w:tcPr>
            <w:tcW w:w="1493" w:type="dxa"/>
            <w:vAlign w:val="center"/>
            <w:tcMar>
              <w:top w:w="15" w:type="dxa"/>
              <w:left w:w="15" w:type="dxa"/>
              <w:bottom w:w="15" w:type="dxa"/>
              <w:right w:w="15"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pPr>
              <w:ind w:left="20"/>
              <w:rPr>
                <w:sz w:val="24"/>
                <w:szCs w:val="24"/>
                <w:lang w:val="en-us"/>
              </w:rPr>
            </w:pPr>
            <w:r>
              <w:rPr>
                <w:sz w:val="24"/>
                <w:szCs w:val="24"/>
                <w:lang w:val="en-us"/>
              </w:rPr>
              <w:t>1,0</w:t>
            </w:r>
          </w:p>
        </w:tc>
        <w:tc>
          <w:tcPr>
            <w:tcW w:w="1843" w:type="dxa"/>
            <w:vAlign w:val="center"/>
            <w:tcMar>
              <w:top w:w="15" w:type="dxa"/>
              <w:left w:w="15" w:type="dxa"/>
              <w:bottom w:w="15" w:type="dxa"/>
              <w:right w:w="15"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pPr>
              <w:ind w:left="20"/>
              <w:rPr>
                <w:sz w:val="24"/>
                <w:szCs w:val="24"/>
                <w:lang w:val="en-us"/>
              </w:rPr>
            </w:pPr>
            <w:r>
              <w:rPr>
                <w:sz w:val="24"/>
                <w:szCs w:val="24"/>
                <w:lang w:val="en-us"/>
              </w:rPr>
              <w:t>50-54</w:t>
            </w:r>
          </w:p>
        </w:tc>
        <w:tc>
          <w:tcPr>
            <w:tcW w:w="3375" w:type="dxa"/>
            <w:vMerge/>
            <w:vAlign w:val="center"/>
            <w:tcMar>
              <w:left w:w="0" w:type="dxa"/>
              <w:right w:w="0"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tc>
      </w:tr>
      <w:tr>
        <w:trPr>
          <w:tblHeader w:val="0"/>
          <w:cantSplit w:val="0"/>
          <w:trHeight w:val="30" w:hRule="atLeast"/>
        </w:trPr>
        <w:tc>
          <w:tcPr>
            <w:tcW w:w="1788" w:type="dxa"/>
            <w:vAlign w:val="center"/>
            <w:tcMar>
              <w:top w:w="15" w:type="dxa"/>
              <w:left w:w="15" w:type="dxa"/>
              <w:bottom w:w="15" w:type="dxa"/>
              <w:right w:w="15" w:type="dxa"/>
            </w:tcMar>
            <w:tcBorders>
              <w:top w:val="nil" w:sz="0" w:space="0" w:color="000000" tmln="20, 20, 20, 0, 0"/>
              <w:left w:val="single" w:sz="8" w:space="0" w:color="CFCFCF" tmln="20, 20, 20, 0, 0"/>
              <w:bottom w:val="single" w:sz="8" w:space="0" w:color="CFCFCF" tmln="20, 20, 20, 0, 0"/>
              <w:right w:val="single" w:sz="8" w:space="0" w:color="CFCFCF" tmln="20, 20, 20, 0, 0"/>
            </w:tcBorders>
            <w:tmTcPr id="1720151694" protected="0"/>
          </w:tcPr>
          <w:p>
            <w:pPr>
              <w:ind w:left="20"/>
              <w:rPr>
                <w:sz w:val="24"/>
                <w:szCs w:val="24"/>
                <w:lang w:val="en-us"/>
              </w:rPr>
            </w:pPr>
            <w:r>
              <w:rPr>
                <w:sz w:val="24"/>
                <w:szCs w:val="24"/>
                <w:lang w:val="en-us"/>
              </w:rPr>
              <w:t>FX</w:t>
            </w:r>
          </w:p>
        </w:tc>
        <w:tc>
          <w:tcPr>
            <w:tcW w:w="1493" w:type="dxa"/>
            <w:vAlign w:val="center"/>
            <w:tcMar>
              <w:top w:w="15" w:type="dxa"/>
              <w:left w:w="15" w:type="dxa"/>
              <w:bottom w:w="15" w:type="dxa"/>
              <w:right w:w="15"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pPr>
              <w:ind w:left="20"/>
              <w:rPr>
                <w:sz w:val="24"/>
                <w:szCs w:val="24"/>
                <w:lang w:val="en-us"/>
              </w:rPr>
            </w:pPr>
            <w:r>
              <w:rPr>
                <w:sz w:val="24"/>
                <w:szCs w:val="24"/>
                <w:lang w:val="en-us"/>
              </w:rPr>
              <w:t>0,5</w:t>
            </w:r>
          </w:p>
        </w:tc>
        <w:tc>
          <w:tcPr>
            <w:tcW w:w="1843" w:type="dxa"/>
            <w:vAlign w:val="center"/>
            <w:tcMar>
              <w:top w:w="15" w:type="dxa"/>
              <w:left w:w="15" w:type="dxa"/>
              <w:bottom w:w="15" w:type="dxa"/>
              <w:right w:w="15"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pPr>
              <w:ind w:left="20"/>
              <w:rPr>
                <w:sz w:val="24"/>
                <w:szCs w:val="24"/>
                <w:lang w:val="en-us"/>
              </w:rPr>
            </w:pPr>
            <w:r>
              <w:rPr>
                <w:sz w:val="24"/>
                <w:szCs w:val="24"/>
                <w:lang w:val="en-us"/>
              </w:rPr>
              <w:t>25-49</w:t>
            </w:r>
          </w:p>
        </w:tc>
        <w:tc>
          <w:tcPr>
            <w:tcW w:w="3375" w:type="dxa"/>
            <w:vMerge w:val="restart"/>
            <w:vAlign w:val="center"/>
            <w:tcMar>
              <w:top w:w="15" w:type="dxa"/>
              <w:left w:w="15" w:type="dxa"/>
              <w:bottom w:w="15" w:type="dxa"/>
              <w:right w:w="15"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pPr>
              <w:ind w:left="20"/>
              <w:spacing/>
              <w:jc w:val="both"/>
              <w:rPr>
                <w:sz w:val="24"/>
                <w:szCs w:val="24"/>
                <w:lang w:val="en-us"/>
              </w:rPr>
            </w:pPr>
            <w:r>
              <w:rPr>
                <w:sz w:val="24"/>
                <w:szCs w:val="24"/>
              </w:rPr>
              <w:t>Қанағаттанарлықсыз</w:t>
            </w:r>
            <w:r>
              <w:rPr>
                <w:sz w:val="24"/>
                <w:szCs w:val="24"/>
                <w:lang w:val="en-us"/>
              </w:rPr>
            </w:r>
          </w:p>
        </w:tc>
      </w:tr>
      <w:tr>
        <w:trPr>
          <w:tblHeader w:val="0"/>
          <w:cantSplit w:val="0"/>
          <w:trHeight w:val="30" w:hRule="atLeast"/>
        </w:trPr>
        <w:tc>
          <w:tcPr>
            <w:tcW w:w="1788" w:type="dxa"/>
            <w:vAlign w:val="center"/>
            <w:tcMar>
              <w:top w:w="15" w:type="dxa"/>
              <w:left w:w="15" w:type="dxa"/>
              <w:bottom w:w="15" w:type="dxa"/>
              <w:right w:w="15" w:type="dxa"/>
            </w:tcMar>
            <w:tcBorders>
              <w:top w:val="nil" w:sz="0" w:space="0" w:color="000000" tmln="20, 20, 20, 0, 0"/>
              <w:left w:val="single" w:sz="8" w:space="0" w:color="CFCFCF" tmln="20, 20, 20, 0, 0"/>
              <w:bottom w:val="single" w:sz="8" w:space="0" w:color="CFCFCF" tmln="20, 20, 20, 0, 0"/>
              <w:right w:val="single" w:sz="8" w:space="0" w:color="CFCFCF" tmln="20, 20, 20, 0, 0"/>
            </w:tcBorders>
            <w:tmTcPr id="1720151694" protected="0"/>
          </w:tcPr>
          <w:p>
            <w:pPr>
              <w:ind w:left="20"/>
              <w:rPr>
                <w:sz w:val="24"/>
                <w:szCs w:val="24"/>
                <w:lang w:val="en-us"/>
              </w:rPr>
            </w:pPr>
            <w:r>
              <w:rPr>
                <w:sz w:val="24"/>
                <w:szCs w:val="24"/>
                <w:lang w:val="en-us"/>
              </w:rPr>
              <w:t>F</w:t>
            </w:r>
          </w:p>
        </w:tc>
        <w:tc>
          <w:tcPr>
            <w:tcW w:w="1493" w:type="dxa"/>
            <w:vAlign w:val="center"/>
            <w:tcMar>
              <w:top w:w="15" w:type="dxa"/>
              <w:left w:w="15" w:type="dxa"/>
              <w:bottom w:w="15" w:type="dxa"/>
              <w:right w:w="15"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pPr>
              <w:ind w:left="20"/>
              <w:rPr>
                <w:sz w:val="24"/>
                <w:szCs w:val="24"/>
                <w:lang w:val="en-us"/>
              </w:rPr>
            </w:pPr>
            <w:r>
              <w:rPr>
                <w:sz w:val="24"/>
                <w:szCs w:val="24"/>
                <w:lang w:val="en-us"/>
              </w:rPr>
              <w:t>0</w:t>
            </w:r>
          </w:p>
        </w:tc>
        <w:tc>
          <w:tcPr>
            <w:tcW w:w="1843" w:type="dxa"/>
            <w:vAlign w:val="center"/>
            <w:tcMar>
              <w:top w:w="15" w:type="dxa"/>
              <w:left w:w="15" w:type="dxa"/>
              <w:bottom w:w="15" w:type="dxa"/>
              <w:right w:w="15"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pPr>
              <w:ind w:left="20"/>
              <w:rPr>
                <w:sz w:val="24"/>
                <w:szCs w:val="24"/>
                <w:lang w:val="en-us"/>
              </w:rPr>
            </w:pPr>
            <w:r>
              <w:rPr>
                <w:sz w:val="24"/>
                <w:szCs w:val="24"/>
                <w:lang w:val="en-us"/>
              </w:rPr>
              <w:t>0-24</w:t>
            </w:r>
          </w:p>
        </w:tc>
        <w:tc>
          <w:tcPr>
            <w:tcW w:w="3375" w:type="dxa"/>
            <w:vMerge/>
            <w:vAlign w:val="center"/>
            <w:tcMar>
              <w:left w:w="0" w:type="dxa"/>
              <w:right w:w="0" w:type="dxa"/>
            </w:tcMar>
            <w:tcBorders>
              <w:top w:val="nil" w:sz="0" w:space="0" w:color="000000" tmln="20, 20, 20, 0, 0"/>
              <w:left w:val="nil" w:sz="0" w:space="0" w:color="000000" tmln="20, 20, 20, 0, 0"/>
              <w:bottom w:val="single" w:sz="8" w:space="0" w:color="CFCFCF" tmln="20, 20, 20, 0, 0"/>
              <w:right w:val="single" w:sz="8" w:space="0" w:color="CFCFCF" tmln="20, 20, 20, 0, 0"/>
            </w:tcBorders>
            <w:tmTcPr id="1720151694" protected="0"/>
          </w:tcPr>
          <w:p/>
        </w:tc>
      </w:tr>
    </w:tbl>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sectPr>
      <w:footnotePr>
        <w:pos w:val="pageBottom"/>
        <w:numFmt w:val="decimal"/>
        <w:numStart w:val="1"/>
        <w:numRestart w:val="continuous"/>
      </w:footnotePr>
      <w:endnotePr>
        <w:pos w:val="docEnd"/>
        <w:numFmt w:val="lowerRoman"/>
        <w:numStart w:val="1"/>
        <w:numRestart w:val="continuous"/>
      </w:endnotePr>
      <w:type w:val="nextPage"/>
      <w:pgSz w:h="16840" w:w="11910"/>
      <w:pgMar w:left="1580" w:top="1040" w:right="740" w:bottom="280" w:header="0" w:footer="0"/>
      <w:paperSrc w:first="0" w:other="0" a="0" b="0"/>
      <w:pgNumType w:fmt="decimal" w:start="2"/>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Symbol">
    <w:panose1 w:val="05050102010706020507"/>
    <w:charset w:val="02"/>
    <w:family w:val="roman"/>
    <w:pitch w:val="default"/>
  </w:font>
  <w:font w:name="Calibri">
    <w:panose1 w:val="020F0502020204030204"/>
    <w:charset w:val="cc"/>
    <w:family w:val="swiss"/>
    <w:pitch w:val="default"/>
  </w:font>
  <w:font w:name="ArialMT">
    <w:panose1 w:val="020B0604020202020204"/>
    <w:charset w:val="00"/>
    <w:family w:val="auto"/>
    <w:pitch w:val="default"/>
  </w:font>
  <w:font w:name="Cambria">
    <w:panose1 w:val="02040503050406030204"/>
    <w:charset w:val="cc"/>
    <w:family w:val="roman"/>
    <w:pitch w:val="default"/>
  </w:font>
  <w:font w:name="Courier New">
    <w:panose1 w:val="02070309020205020404"/>
    <w:charset w:val="cc"/>
    <w:family w:val="modern"/>
    <w:pitch w:val="default"/>
  </w:font>
  <w:font w:name="Wingdings">
    <w:panose1 w:val="05000000000000000000"/>
    <w:charset w:val="02"/>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3"/>
    <w:lvl w:ilvl="0">
      <w:start w:val="1"/>
      <w:numFmt w:val="decimal"/>
      <w:suff w:val="tab"/>
      <w:lvlText w:val="%1."/>
      <w:lvlJc w:val="left"/>
      <w:pPr>
        <w:ind w:left="-93" w:hanging="0"/>
      </w:pPr>
      <w:rPr>
        <w:rFonts w:ascii="Times New Roman" w:hAnsi="Times New Roman" w:eastAsia="Times New Roman"/>
        <w:w w:val="99"/>
        <w:kern w:val="1"/>
        <w:sz w:val="26"/>
        <w:szCs w:val="26"/>
        <w:lang w:val="kk-kz"/>
      </w:rPr>
    </w:lvl>
    <w:lvl w:ilvl="1">
      <w:numFmt w:val="bullet"/>
      <w:suff w:val="tab"/>
      <w:lvlText w:val="•"/>
      <w:lvlJc w:val="left"/>
      <w:pPr>
        <w:ind w:left="854" w:hanging="0"/>
      </w:pPr>
      <w:rPr>
        <w:kern w:val="1"/>
        <w:lang w:val="kk-kz"/>
      </w:rPr>
    </w:lvl>
    <w:lvl w:ilvl="2">
      <w:numFmt w:val="bullet"/>
      <w:suff w:val="tab"/>
      <w:lvlText w:val="•"/>
      <w:lvlJc w:val="left"/>
      <w:pPr>
        <w:ind w:left="1800" w:hanging="0"/>
      </w:pPr>
      <w:rPr>
        <w:kern w:val="1"/>
        <w:lang w:val="kk-kz"/>
      </w:rPr>
    </w:lvl>
    <w:lvl w:ilvl="3">
      <w:numFmt w:val="bullet"/>
      <w:suff w:val="tab"/>
      <w:lvlText w:val="•"/>
      <w:lvlJc w:val="left"/>
      <w:pPr>
        <w:ind w:left="2747" w:hanging="0"/>
      </w:pPr>
      <w:rPr>
        <w:kern w:val="1"/>
        <w:lang w:val="kk-kz"/>
      </w:rPr>
    </w:lvl>
    <w:lvl w:ilvl="4">
      <w:numFmt w:val="bullet"/>
      <w:suff w:val="tab"/>
      <w:lvlText w:val="•"/>
      <w:lvlJc w:val="left"/>
      <w:pPr>
        <w:ind w:left="3693" w:hanging="0"/>
      </w:pPr>
      <w:rPr>
        <w:kern w:val="1"/>
        <w:lang w:val="kk-kz"/>
      </w:rPr>
    </w:lvl>
    <w:lvl w:ilvl="5">
      <w:numFmt w:val="bullet"/>
      <w:suff w:val="tab"/>
      <w:lvlText w:val="•"/>
      <w:lvlJc w:val="left"/>
      <w:pPr>
        <w:ind w:left="4640" w:hanging="0"/>
      </w:pPr>
      <w:rPr>
        <w:kern w:val="1"/>
        <w:lang w:val="kk-kz"/>
      </w:rPr>
    </w:lvl>
    <w:lvl w:ilvl="6">
      <w:numFmt w:val="bullet"/>
      <w:suff w:val="tab"/>
      <w:lvlText w:val="•"/>
      <w:lvlJc w:val="left"/>
      <w:pPr>
        <w:ind w:left="5586" w:hanging="0"/>
      </w:pPr>
      <w:rPr>
        <w:kern w:val="1"/>
        <w:lang w:val="kk-kz"/>
      </w:rPr>
    </w:lvl>
    <w:lvl w:ilvl="7">
      <w:numFmt w:val="bullet"/>
      <w:suff w:val="tab"/>
      <w:lvlText w:val="•"/>
      <w:lvlJc w:val="left"/>
      <w:pPr>
        <w:ind w:left="6532" w:hanging="0"/>
      </w:pPr>
      <w:rPr>
        <w:kern w:val="1"/>
        <w:lang w:val="kk-kz"/>
      </w:rPr>
    </w:lvl>
    <w:lvl w:ilvl="8">
      <w:numFmt w:val="bullet"/>
      <w:suff w:val="tab"/>
      <w:lvlText w:val="•"/>
      <w:lvlJc w:val="left"/>
      <w:pPr>
        <w:ind w:left="7479" w:hanging="0"/>
      </w:pPr>
      <w:rPr>
        <w:kern w:val="1"/>
        <w:lang w:val="kk-kz"/>
      </w:rPr>
    </w:lvl>
  </w:abstractNum>
  <w:abstractNum w:abstractNumId="2">
    <w:multiLevelType w:val="hybridMultilevel"/>
    <w:name w:val="Нумерованный список 2"/>
    <w:lvl w:ilvl="0">
      <w:numFmt w:val="bullet"/>
      <w:suff w:val="tab"/>
      <w:lvlText w:val=""/>
      <w:lvlJc w:val="left"/>
      <w:pPr>
        <w:ind w:left="-11" w:hanging="0"/>
      </w:pPr>
      <w:rPr>
        <w:rFonts w:ascii="Symbol" w:hAnsi="Symbol" w:eastAsia="Symbol" w:cs="Symbol"/>
        <w:spacing w:val="2" w:percent="101"/>
        <w:w w:val="99"/>
        <w:kern w:val="1"/>
        <w:sz w:val="26"/>
        <w:szCs w:val="26"/>
        <w:lang w:val="kk-kz"/>
      </w:rPr>
    </w:lvl>
    <w:lvl w:ilvl="1">
      <w:numFmt w:val="bullet"/>
      <w:suff w:val="tab"/>
      <w:lvlText w:val="•"/>
      <w:lvlJc w:val="left"/>
      <w:pPr>
        <w:ind w:left="936" w:hanging="0"/>
      </w:pPr>
      <w:rPr>
        <w:kern w:val="1"/>
        <w:lang w:val="kk-kz"/>
      </w:rPr>
    </w:lvl>
    <w:lvl w:ilvl="2">
      <w:numFmt w:val="bullet"/>
      <w:suff w:val="tab"/>
      <w:lvlText w:val="•"/>
      <w:lvlJc w:val="left"/>
      <w:pPr>
        <w:ind w:left="1882" w:hanging="0"/>
      </w:pPr>
      <w:rPr>
        <w:kern w:val="1"/>
        <w:lang w:val="kk-kz"/>
      </w:rPr>
    </w:lvl>
    <w:lvl w:ilvl="3">
      <w:numFmt w:val="bullet"/>
      <w:suff w:val="tab"/>
      <w:lvlText w:val="•"/>
      <w:lvlJc w:val="left"/>
      <w:pPr>
        <w:ind w:left="2829" w:hanging="0"/>
      </w:pPr>
      <w:rPr>
        <w:kern w:val="1"/>
        <w:lang w:val="kk-kz"/>
      </w:rPr>
    </w:lvl>
    <w:lvl w:ilvl="4">
      <w:numFmt w:val="bullet"/>
      <w:suff w:val="tab"/>
      <w:lvlText w:val="•"/>
      <w:lvlJc w:val="left"/>
      <w:pPr>
        <w:ind w:left="3775" w:hanging="0"/>
      </w:pPr>
      <w:rPr>
        <w:kern w:val="1"/>
        <w:lang w:val="kk-kz"/>
      </w:rPr>
    </w:lvl>
    <w:lvl w:ilvl="5">
      <w:numFmt w:val="bullet"/>
      <w:suff w:val="tab"/>
      <w:lvlText w:val="•"/>
      <w:lvlJc w:val="left"/>
      <w:pPr>
        <w:ind w:left="4722" w:hanging="0"/>
      </w:pPr>
      <w:rPr>
        <w:kern w:val="1"/>
        <w:lang w:val="kk-kz"/>
      </w:rPr>
    </w:lvl>
    <w:lvl w:ilvl="6">
      <w:numFmt w:val="bullet"/>
      <w:suff w:val="tab"/>
      <w:lvlText w:val="•"/>
      <w:lvlJc w:val="left"/>
      <w:pPr>
        <w:ind w:left="5668" w:hanging="0"/>
      </w:pPr>
      <w:rPr>
        <w:kern w:val="1"/>
        <w:lang w:val="kk-kz"/>
      </w:rPr>
    </w:lvl>
    <w:lvl w:ilvl="7">
      <w:numFmt w:val="bullet"/>
      <w:suff w:val="tab"/>
      <w:lvlText w:val="•"/>
      <w:lvlJc w:val="left"/>
      <w:pPr>
        <w:ind w:left="6614" w:hanging="0"/>
      </w:pPr>
      <w:rPr>
        <w:kern w:val="1"/>
        <w:lang w:val="kk-kz"/>
      </w:rPr>
    </w:lvl>
    <w:lvl w:ilvl="8">
      <w:numFmt w:val="bullet"/>
      <w:suff w:val="tab"/>
      <w:lvlText w:val="•"/>
      <w:lvlJc w:val="left"/>
      <w:pPr>
        <w:ind w:left="7561" w:hanging="0"/>
      </w:pPr>
      <w:rPr>
        <w:kern w:val="1"/>
        <w:lang w:val="kk-kz"/>
      </w:rPr>
    </w:lvl>
  </w:abstractNum>
  <w:abstractNum w:abstractNumId="3">
    <w:multiLevelType w:val="hybridMultilevel"/>
    <w:name w:val="Нумерованный список 1"/>
    <w:lvl w:ilvl="0">
      <w:start w:val="8"/>
      <w:numFmt w:val="decimal"/>
      <w:suff w:val="tab"/>
      <w:lvlText w:val="%1."/>
      <w:lvlJc w:val="left"/>
      <w:pPr>
        <w:ind w:left="-93" w:hanging="0"/>
      </w:pPr>
      <w:rPr>
        <w:w w:val="98"/>
        <w:kern w:val="1"/>
        <w:lang w:val="kk-kz"/>
      </w:rPr>
    </w:lvl>
    <w:lvl w:ilvl="1">
      <w:numFmt w:val="bullet"/>
      <w:suff w:val="tab"/>
      <w:lvlText w:val="•"/>
      <w:lvlJc w:val="left"/>
      <w:pPr>
        <w:ind w:left="854" w:hanging="0"/>
      </w:pPr>
      <w:rPr>
        <w:kern w:val="1"/>
        <w:lang w:val="kk-kz"/>
      </w:rPr>
    </w:lvl>
    <w:lvl w:ilvl="2">
      <w:numFmt w:val="bullet"/>
      <w:suff w:val="tab"/>
      <w:lvlText w:val="•"/>
      <w:lvlJc w:val="left"/>
      <w:pPr>
        <w:ind w:left="1800" w:hanging="0"/>
      </w:pPr>
      <w:rPr>
        <w:kern w:val="1"/>
        <w:lang w:val="kk-kz"/>
      </w:rPr>
    </w:lvl>
    <w:lvl w:ilvl="3">
      <w:numFmt w:val="bullet"/>
      <w:suff w:val="tab"/>
      <w:lvlText w:val="•"/>
      <w:lvlJc w:val="left"/>
      <w:pPr>
        <w:ind w:left="2747" w:hanging="0"/>
      </w:pPr>
      <w:rPr>
        <w:kern w:val="1"/>
        <w:lang w:val="kk-kz"/>
      </w:rPr>
    </w:lvl>
    <w:lvl w:ilvl="4">
      <w:numFmt w:val="bullet"/>
      <w:suff w:val="tab"/>
      <w:lvlText w:val="•"/>
      <w:lvlJc w:val="left"/>
      <w:pPr>
        <w:ind w:left="3693" w:hanging="0"/>
      </w:pPr>
      <w:rPr>
        <w:kern w:val="1"/>
        <w:lang w:val="kk-kz"/>
      </w:rPr>
    </w:lvl>
    <w:lvl w:ilvl="5">
      <w:numFmt w:val="bullet"/>
      <w:suff w:val="tab"/>
      <w:lvlText w:val="•"/>
      <w:lvlJc w:val="left"/>
      <w:pPr>
        <w:ind w:left="4640" w:hanging="0"/>
      </w:pPr>
      <w:rPr>
        <w:kern w:val="1"/>
        <w:lang w:val="kk-kz"/>
      </w:rPr>
    </w:lvl>
    <w:lvl w:ilvl="6">
      <w:numFmt w:val="bullet"/>
      <w:suff w:val="tab"/>
      <w:lvlText w:val="•"/>
      <w:lvlJc w:val="left"/>
      <w:pPr>
        <w:ind w:left="5586" w:hanging="0"/>
      </w:pPr>
      <w:rPr>
        <w:kern w:val="1"/>
        <w:lang w:val="kk-kz"/>
      </w:rPr>
    </w:lvl>
    <w:lvl w:ilvl="7">
      <w:numFmt w:val="bullet"/>
      <w:suff w:val="tab"/>
      <w:lvlText w:val="•"/>
      <w:lvlJc w:val="left"/>
      <w:pPr>
        <w:ind w:left="6532" w:hanging="0"/>
      </w:pPr>
      <w:rPr>
        <w:kern w:val="1"/>
        <w:lang w:val="kk-kz"/>
      </w:rPr>
    </w:lvl>
    <w:lvl w:ilvl="8">
      <w:numFmt w:val="bullet"/>
      <w:suff w:val="tab"/>
      <w:lvlText w:val="•"/>
      <w:lvlJc w:val="left"/>
      <w:pPr>
        <w:ind w:left="7479" w:hanging="0"/>
      </w:pPr>
      <w:rPr>
        <w:kern w:val="1"/>
        <w:lang w:val="kk-kz"/>
      </w:rPr>
    </w:lvl>
  </w:abstractNum>
  <w:abstractNum w:abstractNumId="4">
    <w:multiLevelType w:val="hybridMultilevel"/>
    <w:name w:val="Нумерованный список 5"/>
    <w:lvl w:ilvl="0">
      <w:start w:val="1"/>
      <w:numFmt w:val="decimal"/>
      <w:suff w:val="tab"/>
      <w:lvlText w:val="%1."/>
      <w:lvlJc w:val="left"/>
      <w:pPr>
        <w:ind w:left="0" w:hanging="0"/>
      </w:pPr>
    </w:lvl>
    <w:lvl w:ilvl="1">
      <w:start w:val="1"/>
      <w:numFmt w:val="lowerLetter"/>
      <w:suff w:val="tab"/>
      <w:lvlText w:val="%2."/>
      <w:lvlJc w:val="left"/>
      <w:pPr>
        <w:ind w:left="720" w:hanging="0"/>
      </w:pPr>
    </w:lvl>
    <w:lvl w:ilvl="2">
      <w:start w:val="1"/>
      <w:numFmt w:val="lowerRoman"/>
      <w:suff w:val="tab"/>
      <w:lvlText w:val="%3."/>
      <w:lvlJc w:val="left"/>
      <w:pPr>
        <w:ind w:left="1620" w:hanging="0"/>
      </w:pPr>
    </w:lvl>
    <w:lvl w:ilvl="3">
      <w:start w:val="1"/>
      <w:numFmt w:val="decimal"/>
      <w:suff w:val="tab"/>
      <w:lvlText w:val="%4."/>
      <w:lvlJc w:val="left"/>
      <w:pPr>
        <w:ind w:left="2160" w:hanging="0"/>
      </w:pPr>
    </w:lvl>
    <w:lvl w:ilvl="4">
      <w:start w:val="1"/>
      <w:numFmt w:val="lowerLetter"/>
      <w:suff w:val="tab"/>
      <w:lvlText w:val="%5."/>
      <w:lvlJc w:val="left"/>
      <w:pPr>
        <w:ind w:left="2880" w:hanging="0"/>
      </w:pPr>
    </w:lvl>
    <w:lvl w:ilvl="5">
      <w:start w:val="1"/>
      <w:numFmt w:val="lowerRoman"/>
      <w:suff w:val="tab"/>
      <w:lvlText w:val="%6."/>
      <w:lvlJc w:val="left"/>
      <w:pPr>
        <w:ind w:left="3780" w:hanging="0"/>
      </w:pPr>
    </w:lvl>
    <w:lvl w:ilvl="6">
      <w:start w:val="1"/>
      <w:numFmt w:val="decimal"/>
      <w:suff w:val="tab"/>
      <w:lvlText w:val="%7."/>
      <w:lvlJc w:val="left"/>
      <w:pPr>
        <w:ind w:left="4320" w:hanging="0"/>
      </w:pPr>
    </w:lvl>
    <w:lvl w:ilvl="7">
      <w:start w:val="1"/>
      <w:numFmt w:val="lowerLetter"/>
      <w:suff w:val="tab"/>
      <w:lvlText w:val="%8."/>
      <w:lvlJc w:val="left"/>
      <w:pPr>
        <w:ind w:left="5040" w:hanging="0"/>
      </w:pPr>
    </w:lvl>
    <w:lvl w:ilvl="8">
      <w:start w:val="1"/>
      <w:numFmt w:val="lowerRoman"/>
      <w:suff w:val="tab"/>
      <w:lvlText w:val="%9."/>
      <w:lvlJc w:val="left"/>
      <w:pPr>
        <w:ind w:left="5940" w:hanging="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Таблица" w:pos="below" w:numFmt="decimal"/>
    <w:caption w:name="Рисунок" w:pos="below" w:numFmt="decimal"/>
    <w:caption w:name="Изображение" w:pos="below" w:numFmt="decimal"/>
  </w:captions>
  <w:drawingGridHorizontalSpacing w:val="110"/>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hapeLayoutLikeWW8 w:val="1"/>
  </w:compat>
  <w:shapeDefaults>
    <o:shapedefaults v:ext="edit" spidmax="1026"/>
    <o:shapelayout v:ext="edit">
      <o:rules v:ext="edit"/>
    </o:shapelayout>
  </w:shapeDefaults>
  <w:tmPrefOne w:val="17"/>
  <w:tmPrefTwo w:val="1"/>
  <w:tmFmtPref w:val="189275259"/>
  <w:tmCommentsPr>
    <w:tmCommentsPlace w:val="0"/>
    <w:tmCommentsWidth w:val="3119"/>
    <w:tmCommentsColor w:val="-1"/>
  </w:tmCommentsPr>
  <w:tmReviewPr>
    <w:tmReviewEnabled w:val="0"/>
    <w:tmReviewShow w:val="1"/>
    <w:tmReviewPrint w:val="0"/>
    <w:tmRevisionNum w:val="23"/>
    <w:tmReviewMarkIns w:val="4"/>
    <w:tmReviewColorIns w:val="-1"/>
    <w:tmReviewMarkDel w:val="6"/>
    <w:tmReviewColorDel w:val="-1"/>
    <w:tmReviewMarkFmt w:val="1"/>
    <w:tmReviewColorFmt w:val="-1"/>
    <w:tmReviewMarkLn w:val="1"/>
    <w:tmReviewColorLn w:val="0"/>
    <w:tmReviewToolTip w:val="1"/>
  </w:tmReviewPr>
  <w:tmLastPos>
    <w:tmLastPosPage w:val="1"/>
    <w:tmLastPosSelect w:val="0"/>
    <w:tmLastPosFrameIdx w:val="0"/>
    <w:tmLastPosCaret>
      <w:tmLastPosPgfIdx w:val="56"/>
      <w:tmLastPosIdx w:val="32"/>
    </w:tmLastPosCaret>
    <w:tmLastPosAnchor>
      <w:tmLastPosPgfIdx w:val="0"/>
      <w:tmLastPosIdx w:val="0"/>
    </w:tmLastPosAnchor>
    <w:tmLastPosTblRect w:left="0" w:top="0" w:right="0" w:bottom="0"/>
  </w:tmLastPos>
  <w:tmAppRevision w:date="1720151694" w:val="1046" w:fileVer="342" w:fileVer64="64" w:fileVerOS="4"/>
  <w:guidesAndGrid showGuides="1" lockGuides="0" snapToGuides="1" snapToPageMargins="0" snapToOtherObjects="1" tolerance="8" gridDistanceHorizontal="110"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lang w:val="kk-kz"/>
    </w:rPr>
  </w:style>
  <w:style w:type="paragraph" w:styleId="para1">
    <w:name w:val="heading 1"/>
    <w:qFormat/>
    <w:basedOn w:val="para0"/>
    <w:pPr>
      <w:ind w:left="681"/>
      <w:spacing/>
      <w:jc w:val="center"/>
      <w:outlineLvl w:val="0"/>
    </w:pPr>
    <w:rPr>
      <w:b/>
      <w:bCs/>
      <w:sz w:val="28"/>
      <w:szCs w:val="28"/>
    </w:rPr>
  </w:style>
  <w:style w:type="paragraph" w:styleId="para2">
    <w:name w:val="Body Text"/>
    <w:qFormat/>
    <w:basedOn w:val="para0"/>
    <w:rPr>
      <w:sz w:val="28"/>
      <w:szCs w:val="28"/>
    </w:rPr>
  </w:style>
  <w:style w:type="paragraph" w:styleId="para3">
    <w:name w:val="List Paragraph"/>
    <w:qFormat/>
    <w:basedOn w:val="para0"/>
    <w:pPr>
      <w:ind w:left="119" w:firstLine="710"/>
      <w:spacing/>
      <w:jc w:val="both"/>
    </w:pPr>
  </w:style>
  <w:style w:type="paragraph" w:styleId="para4" w:customStyle="1">
    <w:name w:val="Table Paragraph"/>
    <w:qFormat/>
    <w:basedOn w:val="para0"/>
    <w:pPr>
      <w:ind w:left="32"/>
      <w:spacing w:line="315" w:lineRule="exact"/>
    </w:pPr>
  </w:style>
  <w:style w:type="paragraph" w:styleId="para5">
    <w:name w:val="Body Text Indent"/>
    <w:qFormat/>
    <w:basedOn w:val="para0"/>
    <w:pPr>
      <w:ind w:left="283"/>
      <w:spacing w:after="120"/>
    </w:pPr>
  </w:style>
  <w:style w:type="paragraph" w:styleId="para6">
    <w:name w:val="heading 4"/>
    <w:qFormat/>
    <w:basedOn w:val="para0"/>
    <w:next w:val="para0"/>
    <w:pPr>
      <w:spacing w:before="200" w:line="276" w:lineRule="auto"/>
      <w:keepNext/>
      <w:outlineLvl w:val="3"/>
      <w:keepLines/>
      <w:widowControl/>
      <w:tabs defTabSz="708"/>
    </w:pPr>
    <w:rPr>
      <w:rFonts w:ascii="Cambria" w:hAnsi="Cambria"/>
      <w:b/>
      <w:bCs/>
      <w:i/>
      <w:iCs/>
      <w:color w:val="cfcfcf"/>
      <w:lang w:val="ru-ru" w:eastAsia="ru-ru"/>
    </w:rPr>
  </w:style>
  <w:style w:type="paragraph" w:styleId="para7">
    <w:name w:val="Normal (Web)"/>
    <w:qFormat/>
    <w:basedOn w:val="para0"/>
    <w:pPr>
      <w:spacing w:before="100" w:after="100" w:beforeAutospacing="1" w:afterAutospacing="1"/>
      <w:widowControl/>
      <w:tabs defTabSz="708"/>
    </w:pPr>
    <w:rPr>
      <w:sz w:val="24"/>
      <w:szCs w:val="24"/>
      <w:lang w:val="ru-ru" w:eastAsia="ru-ru"/>
    </w:rPr>
  </w:style>
  <w:style w:type="paragraph" w:styleId="para8">
    <w:name w:val="HTML Preformatted"/>
    <w:qFormat/>
    <w:basedOn w:val="para0"/>
    <w:pPr>
      <w:widowControl/>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lang w:val="ru-ru" w:eastAsia="ru-ru"/>
    </w:rPr>
  </w:style>
  <w:style w:type="paragraph" w:styleId="para9">
    <w:name w:val="Body Text 3"/>
    <w:qFormat/>
    <w:basedOn w:val="para0"/>
    <w:pPr>
      <w:spacing w:after="120" w:line="276" w:lineRule="auto"/>
      <w:widowControl/>
      <w:tabs defTabSz="708"/>
    </w:pPr>
    <w:rPr>
      <w:rFonts w:ascii="Calibri" w:hAnsi="Calibri"/>
      <w:sz w:val="16"/>
      <w:szCs w:val="16"/>
      <w:lang w:val="ru-ru" w:eastAsia="ru-ru"/>
    </w:rPr>
  </w:style>
  <w:style w:type="character" w:styleId="char0" w:default="1">
    <w:name w:val="Default Paragraph Font"/>
  </w:style>
  <w:style w:type="character" w:styleId="char1" w:customStyle="1">
    <w:name w:val="Основной текст с отступом Знак"/>
    <w:basedOn w:val="char0"/>
    <w:rPr>
      <w:rFonts w:ascii="Times New Roman" w:hAnsi="Times New Roman" w:eastAsia="Times New Roman" w:cs="Times New Roman"/>
      <w:lang w:val="kk-kz"/>
    </w:rPr>
  </w:style>
  <w:style w:type="character" w:styleId="char2" w:customStyle="1">
    <w:name w:val="Font Style11"/>
    <w:basedOn w:val="char0"/>
    <w:rPr>
      <w:rFonts w:ascii="Times New Roman" w:hAnsi="Times New Roman" w:cs="Times New Roman"/>
      <w:b/>
      <w:bCs/>
      <w:sz w:val="16"/>
      <w:szCs w:val="16"/>
    </w:rPr>
  </w:style>
  <w:style w:type="character" w:styleId="char3" w:customStyle="1">
    <w:name w:val="s00"/>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lang w:val="kk-kz"/>
    </w:rPr>
  </w:style>
  <w:style w:type="paragraph" w:styleId="para1">
    <w:name w:val="heading 1"/>
    <w:qFormat/>
    <w:basedOn w:val="para0"/>
    <w:pPr>
      <w:ind w:left="681"/>
      <w:spacing/>
      <w:jc w:val="center"/>
      <w:outlineLvl w:val="0"/>
    </w:pPr>
    <w:rPr>
      <w:b/>
      <w:bCs/>
      <w:sz w:val="28"/>
      <w:szCs w:val="28"/>
    </w:rPr>
  </w:style>
  <w:style w:type="paragraph" w:styleId="para2">
    <w:name w:val="Body Text"/>
    <w:qFormat/>
    <w:basedOn w:val="para0"/>
    <w:rPr>
      <w:sz w:val="28"/>
      <w:szCs w:val="28"/>
    </w:rPr>
  </w:style>
  <w:style w:type="paragraph" w:styleId="para3">
    <w:name w:val="List Paragraph"/>
    <w:qFormat/>
    <w:basedOn w:val="para0"/>
    <w:pPr>
      <w:ind w:left="119" w:firstLine="710"/>
      <w:spacing/>
      <w:jc w:val="both"/>
    </w:pPr>
  </w:style>
  <w:style w:type="paragraph" w:styleId="para4" w:customStyle="1">
    <w:name w:val="Table Paragraph"/>
    <w:qFormat/>
    <w:basedOn w:val="para0"/>
    <w:pPr>
      <w:ind w:left="32"/>
      <w:spacing w:line="315" w:lineRule="exact"/>
    </w:pPr>
  </w:style>
  <w:style w:type="paragraph" w:styleId="para5">
    <w:name w:val="Body Text Indent"/>
    <w:qFormat/>
    <w:basedOn w:val="para0"/>
    <w:pPr>
      <w:ind w:left="283"/>
      <w:spacing w:after="120"/>
    </w:pPr>
  </w:style>
  <w:style w:type="paragraph" w:styleId="para6">
    <w:name w:val="heading 4"/>
    <w:qFormat/>
    <w:basedOn w:val="para0"/>
    <w:next w:val="para0"/>
    <w:pPr>
      <w:spacing w:before="200" w:line="276" w:lineRule="auto"/>
      <w:keepNext/>
      <w:outlineLvl w:val="3"/>
      <w:keepLines/>
      <w:widowControl/>
      <w:tabs defTabSz="708"/>
    </w:pPr>
    <w:rPr>
      <w:rFonts w:ascii="Cambria" w:hAnsi="Cambria"/>
      <w:b/>
      <w:bCs/>
      <w:i/>
      <w:iCs/>
      <w:color w:val="cfcfcf"/>
      <w:lang w:val="ru-ru" w:eastAsia="ru-ru"/>
    </w:rPr>
  </w:style>
  <w:style w:type="paragraph" w:styleId="para7">
    <w:name w:val="Normal (Web)"/>
    <w:qFormat/>
    <w:basedOn w:val="para0"/>
    <w:pPr>
      <w:spacing w:before="100" w:after="100" w:beforeAutospacing="1" w:afterAutospacing="1"/>
      <w:widowControl/>
      <w:tabs defTabSz="708"/>
    </w:pPr>
    <w:rPr>
      <w:sz w:val="24"/>
      <w:szCs w:val="24"/>
      <w:lang w:val="ru-ru" w:eastAsia="ru-ru"/>
    </w:rPr>
  </w:style>
  <w:style w:type="paragraph" w:styleId="para8">
    <w:name w:val="HTML Preformatted"/>
    <w:qFormat/>
    <w:basedOn w:val="para0"/>
    <w:pPr>
      <w:widowControl/>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lang w:val="ru-ru" w:eastAsia="ru-ru"/>
    </w:rPr>
  </w:style>
  <w:style w:type="paragraph" w:styleId="para9">
    <w:name w:val="Body Text 3"/>
    <w:qFormat/>
    <w:basedOn w:val="para0"/>
    <w:pPr>
      <w:spacing w:after="120" w:line="276" w:lineRule="auto"/>
      <w:widowControl/>
      <w:tabs defTabSz="708"/>
    </w:pPr>
    <w:rPr>
      <w:rFonts w:ascii="Calibri" w:hAnsi="Calibri"/>
      <w:sz w:val="16"/>
      <w:szCs w:val="16"/>
      <w:lang w:val="ru-ru" w:eastAsia="ru-ru"/>
    </w:rPr>
  </w:style>
  <w:style w:type="character" w:styleId="char0" w:default="1">
    <w:name w:val="Default Paragraph Font"/>
  </w:style>
  <w:style w:type="character" w:styleId="char1" w:customStyle="1">
    <w:name w:val="Основной текст с отступом Знак"/>
    <w:basedOn w:val="char0"/>
    <w:rPr>
      <w:rFonts w:ascii="Times New Roman" w:hAnsi="Times New Roman" w:eastAsia="Times New Roman" w:cs="Times New Roman"/>
      <w:lang w:val="kk-kz"/>
    </w:rPr>
  </w:style>
  <w:style w:type="character" w:styleId="char2" w:customStyle="1">
    <w:name w:val="Font Style11"/>
    <w:basedOn w:val="char0"/>
    <w:rPr>
      <w:rFonts w:ascii="Times New Roman" w:hAnsi="Times New Roman" w:cs="Times New Roman"/>
      <w:b/>
      <w:bCs/>
      <w:sz w:val="16"/>
      <w:szCs w:val="16"/>
    </w:rPr>
  </w:style>
  <w:style w:type="character" w:styleId="char3" w:customStyle="1">
    <w:name w:val="s00"/>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rev.1046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
  <cp:revision>23</cp:revision>
  <dcterms:created xsi:type="dcterms:W3CDTF">2020-11-30T21:42:00Z</dcterms:created>
  <dcterms:modified xsi:type="dcterms:W3CDTF">2024-07-05T03:54:54Z</dcterms:modified>
</cp:coreProperties>
</file>